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B05F" w14:textId="77777777" w:rsidR="00574A22" w:rsidRPr="0054518F" w:rsidRDefault="00574A22" w:rsidP="00574A22">
      <w:pPr>
        <w:jc w:val="center"/>
        <w:rPr>
          <w:b/>
          <w:sz w:val="24"/>
        </w:rPr>
      </w:pPr>
      <w:r w:rsidRPr="0054518F">
        <w:rPr>
          <w:b/>
          <w:sz w:val="24"/>
        </w:rPr>
        <w:t>PORTAL DE TRANSPARENCIA</w:t>
      </w:r>
    </w:p>
    <w:p w14:paraId="000ED435" w14:textId="77777777" w:rsidR="00574A22" w:rsidRDefault="00574A22" w:rsidP="009821AC">
      <w:pPr>
        <w:spacing w:before="120" w:line="300" w:lineRule="auto"/>
        <w:jc w:val="center"/>
        <w:rPr>
          <w:rFonts w:ascii="Arial" w:hAnsi="Arial" w:cs="Arial"/>
          <w:b/>
          <w:bCs/>
          <w:snapToGrid w:val="0"/>
          <w:sz w:val="28"/>
          <w:szCs w:val="28"/>
          <w:lang w:val="es-MX"/>
        </w:rPr>
      </w:pPr>
    </w:p>
    <w:p w14:paraId="4B7CC8D3" w14:textId="0E72DB8C" w:rsidR="009821AC" w:rsidRPr="00277968" w:rsidRDefault="009821AC" w:rsidP="009821AC">
      <w:pPr>
        <w:spacing w:before="120" w:line="300" w:lineRule="auto"/>
        <w:jc w:val="center"/>
        <w:rPr>
          <w:rFonts w:ascii="Arial" w:hAnsi="Arial" w:cs="Arial"/>
          <w:b/>
          <w:bCs/>
          <w:snapToGrid w:val="0"/>
          <w:sz w:val="28"/>
          <w:szCs w:val="28"/>
          <w:lang w:val="es-MX"/>
        </w:rPr>
      </w:pPr>
      <w:r w:rsidRPr="00277968">
        <w:rPr>
          <w:rFonts w:ascii="Arial" w:hAnsi="Arial" w:cs="Arial"/>
          <w:b/>
          <w:bCs/>
          <w:snapToGrid w:val="0"/>
          <w:sz w:val="28"/>
          <w:szCs w:val="28"/>
          <w:lang w:val="es-MX"/>
        </w:rPr>
        <w:t>PRESUPUESTO DEL EJERCICIO 20</w:t>
      </w:r>
      <w:r w:rsidR="00C50E4E" w:rsidRPr="00277968">
        <w:rPr>
          <w:rFonts w:ascii="Arial" w:hAnsi="Arial" w:cs="Arial"/>
          <w:b/>
          <w:bCs/>
          <w:snapToGrid w:val="0"/>
          <w:sz w:val="28"/>
          <w:szCs w:val="28"/>
          <w:lang w:val="es-MX"/>
        </w:rPr>
        <w:t>2</w:t>
      </w:r>
      <w:r w:rsidR="00487362">
        <w:rPr>
          <w:rFonts w:ascii="Arial" w:hAnsi="Arial" w:cs="Arial"/>
          <w:b/>
          <w:bCs/>
          <w:snapToGrid w:val="0"/>
          <w:sz w:val="28"/>
          <w:szCs w:val="28"/>
          <w:lang w:val="es-MX"/>
        </w:rPr>
        <w:t>4.</w:t>
      </w:r>
    </w:p>
    <w:p w14:paraId="0D3113FB" w14:textId="59EE6F97" w:rsidR="009821AC" w:rsidRDefault="009821AC" w:rsidP="009821AC">
      <w:pPr>
        <w:spacing w:before="120" w:line="300" w:lineRule="auto"/>
        <w:jc w:val="both"/>
        <w:rPr>
          <w:rFonts w:ascii="Arial" w:hAnsi="Arial" w:cs="Arial"/>
          <w:b/>
          <w:bCs/>
          <w:snapToGrid w:val="0"/>
          <w:sz w:val="28"/>
          <w:szCs w:val="28"/>
          <w:lang w:val="es-MX"/>
        </w:rPr>
      </w:pPr>
    </w:p>
    <w:p w14:paraId="0084171F" w14:textId="77777777" w:rsidR="00487362" w:rsidRPr="00112534" w:rsidRDefault="00487362" w:rsidP="00487362">
      <w:pPr>
        <w:pStyle w:val="Citadestacada"/>
        <w:ind w:left="0" w:right="-1"/>
        <w:rPr>
          <w:rFonts w:ascii="Arial" w:hAnsi="Arial" w:cs="Arial"/>
          <w:b/>
          <w:bCs/>
          <w:snapToGrid w:val="0"/>
          <w:sz w:val="22"/>
          <w:szCs w:val="22"/>
          <w:lang w:val="es-MX"/>
        </w:rPr>
      </w:pPr>
      <w:r w:rsidRPr="00112534">
        <w:rPr>
          <w:rFonts w:ascii="Arial" w:hAnsi="Arial" w:cs="Arial"/>
          <w:b/>
          <w:bCs/>
          <w:snapToGrid w:val="0"/>
          <w:sz w:val="22"/>
          <w:szCs w:val="22"/>
          <w:lang w:val="es-MX"/>
        </w:rPr>
        <w:t>1. MEMORIA</w:t>
      </w:r>
    </w:p>
    <w:p w14:paraId="6677A3C7" w14:textId="77777777" w:rsidR="00487362" w:rsidRPr="008813E1" w:rsidRDefault="00487362" w:rsidP="00487362">
      <w:pPr>
        <w:spacing w:before="120" w:line="300" w:lineRule="auto"/>
        <w:ind w:firstLine="709"/>
        <w:jc w:val="both"/>
        <w:rPr>
          <w:rFonts w:ascii="Arial" w:hAnsi="Arial" w:cs="Arial"/>
          <w:bCs/>
          <w:sz w:val="22"/>
          <w:szCs w:val="22"/>
        </w:rPr>
      </w:pPr>
      <w:r w:rsidRPr="008813E1">
        <w:rPr>
          <w:rFonts w:ascii="Arial" w:hAnsi="Arial" w:cs="Arial"/>
          <w:bCs/>
          <w:sz w:val="22"/>
          <w:szCs w:val="22"/>
        </w:rPr>
        <w:t xml:space="preserve">La presente Memoria se confecciona cumpliendo el mandato que se contempla en el artículo 168.1.a) del Real Decreto Legislativo 2/2004, de 5 de marzo, por el que se aprueba el Texto Refundido de la Ley Reguladora de las Haciendas Locales, y en el 18.1.a) del Real Decreto 500/1990, de 20 de abril, por el que se desarrolla dicha Ley en materia presupuestaria, así como la Ley Orgánica 2/2012, de 27 de abril, de Estabilidad Presupuestaria y Sostenibilidad Financiera. </w:t>
      </w:r>
    </w:p>
    <w:p w14:paraId="16D2E6E2" w14:textId="77777777" w:rsidR="00487362" w:rsidRPr="00A97A6F" w:rsidRDefault="00487362" w:rsidP="00487362">
      <w:pPr>
        <w:spacing w:before="120" w:line="300" w:lineRule="auto"/>
        <w:ind w:firstLine="709"/>
        <w:jc w:val="both"/>
        <w:rPr>
          <w:rFonts w:ascii="Arial" w:hAnsi="Arial" w:cs="Arial"/>
          <w:bCs/>
          <w:sz w:val="22"/>
          <w:szCs w:val="22"/>
        </w:rPr>
      </w:pPr>
      <w:r w:rsidRPr="00A97A6F">
        <w:rPr>
          <w:rFonts w:ascii="Arial" w:hAnsi="Arial" w:cs="Arial"/>
          <w:bCs/>
          <w:sz w:val="22"/>
          <w:szCs w:val="22"/>
        </w:rPr>
        <w:t>El Presupuesto del Consorcio de Prevención, Extinción y Salvamento de la Isla de Tenerife para el ejercicio 202</w:t>
      </w:r>
      <w:r>
        <w:rPr>
          <w:rFonts w:ascii="Arial" w:hAnsi="Arial" w:cs="Arial"/>
          <w:bCs/>
          <w:sz w:val="22"/>
          <w:szCs w:val="22"/>
        </w:rPr>
        <w:t>4</w:t>
      </w:r>
      <w:r w:rsidRPr="00A97A6F">
        <w:rPr>
          <w:rFonts w:ascii="Arial" w:hAnsi="Arial" w:cs="Arial"/>
          <w:bCs/>
          <w:sz w:val="22"/>
          <w:szCs w:val="22"/>
        </w:rPr>
        <w:t xml:space="preserve"> alcanza la cifra de </w:t>
      </w:r>
      <w:r>
        <w:rPr>
          <w:rFonts w:ascii="Arial" w:hAnsi="Arial" w:cs="Arial"/>
          <w:bCs/>
          <w:sz w:val="22"/>
          <w:szCs w:val="22"/>
        </w:rPr>
        <w:t>25.552.274,79</w:t>
      </w:r>
      <w:r w:rsidRPr="00A97A6F">
        <w:rPr>
          <w:rFonts w:ascii="Arial" w:hAnsi="Arial" w:cs="Arial"/>
          <w:bCs/>
          <w:sz w:val="22"/>
          <w:szCs w:val="22"/>
        </w:rPr>
        <w:t xml:space="preserve"> euros, lo que supone un incremento del </w:t>
      </w:r>
      <w:r>
        <w:rPr>
          <w:rFonts w:ascii="Arial" w:hAnsi="Arial" w:cs="Arial"/>
          <w:bCs/>
          <w:sz w:val="22"/>
          <w:szCs w:val="22"/>
        </w:rPr>
        <w:t>9,64</w:t>
      </w:r>
      <w:r w:rsidRPr="00A97A6F">
        <w:rPr>
          <w:rFonts w:ascii="Arial" w:hAnsi="Arial" w:cs="Arial"/>
          <w:bCs/>
          <w:sz w:val="22"/>
          <w:szCs w:val="22"/>
        </w:rPr>
        <w:t xml:space="preserve">% con respecto al ejercicio anterior, que en términos absolutos se traduce en </w:t>
      </w:r>
      <w:r>
        <w:rPr>
          <w:rFonts w:ascii="Arial" w:hAnsi="Arial" w:cs="Arial"/>
          <w:bCs/>
          <w:sz w:val="22"/>
          <w:szCs w:val="22"/>
        </w:rPr>
        <w:t>2.246.088,03</w:t>
      </w:r>
      <w:r w:rsidRPr="00A97A6F">
        <w:rPr>
          <w:rFonts w:ascii="Arial" w:hAnsi="Arial" w:cs="Arial"/>
          <w:bCs/>
          <w:sz w:val="22"/>
          <w:szCs w:val="22"/>
        </w:rPr>
        <w:t xml:space="preserve"> euros.</w:t>
      </w:r>
    </w:p>
    <w:p w14:paraId="33F02606" w14:textId="77777777" w:rsidR="00487362" w:rsidRPr="00A97A6F" w:rsidRDefault="00487362" w:rsidP="00487362">
      <w:pPr>
        <w:spacing w:before="120" w:line="300" w:lineRule="auto"/>
        <w:ind w:firstLine="709"/>
        <w:jc w:val="both"/>
        <w:rPr>
          <w:rFonts w:ascii="Arial" w:hAnsi="Arial" w:cs="Arial"/>
          <w:sz w:val="22"/>
          <w:szCs w:val="22"/>
        </w:rPr>
      </w:pPr>
      <w:r w:rsidRPr="00A97A6F">
        <w:rPr>
          <w:rFonts w:ascii="Arial" w:hAnsi="Arial" w:cs="Arial"/>
          <w:sz w:val="22"/>
          <w:szCs w:val="22"/>
        </w:rPr>
        <w:t xml:space="preserve">Los recursos del </w:t>
      </w:r>
      <w:r w:rsidRPr="00A97A6F">
        <w:rPr>
          <w:rFonts w:ascii="Arial" w:hAnsi="Arial" w:cs="Arial"/>
          <w:b/>
          <w:sz w:val="22"/>
          <w:szCs w:val="22"/>
          <w:u w:val="single"/>
        </w:rPr>
        <w:t>Presupuesto de ingresos</w:t>
      </w:r>
      <w:r w:rsidRPr="00A97A6F">
        <w:rPr>
          <w:rFonts w:ascii="Arial" w:hAnsi="Arial" w:cs="Arial"/>
          <w:b/>
          <w:sz w:val="22"/>
          <w:szCs w:val="22"/>
        </w:rPr>
        <w:t xml:space="preserve"> </w:t>
      </w:r>
      <w:r w:rsidRPr="00A97A6F">
        <w:rPr>
          <w:rFonts w:ascii="Arial" w:hAnsi="Arial" w:cs="Arial"/>
          <w:sz w:val="22"/>
          <w:szCs w:val="22"/>
        </w:rPr>
        <w:t>para 202</w:t>
      </w:r>
      <w:r>
        <w:rPr>
          <w:rFonts w:ascii="Arial" w:hAnsi="Arial" w:cs="Arial"/>
          <w:sz w:val="22"/>
          <w:szCs w:val="22"/>
        </w:rPr>
        <w:t>4</w:t>
      </w:r>
      <w:r w:rsidRPr="00A97A6F">
        <w:rPr>
          <w:rFonts w:ascii="Arial" w:hAnsi="Arial" w:cs="Arial"/>
          <w:sz w:val="22"/>
          <w:szCs w:val="22"/>
        </w:rPr>
        <w:t xml:space="preserve"> se estiman en </w:t>
      </w:r>
      <w:r>
        <w:rPr>
          <w:rFonts w:ascii="Arial" w:hAnsi="Arial" w:cs="Arial"/>
          <w:sz w:val="22"/>
          <w:szCs w:val="22"/>
        </w:rPr>
        <w:t>25.552.274,79</w:t>
      </w:r>
      <w:r w:rsidRPr="00A97A6F">
        <w:rPr>
          <w:rFonts w:ascii="Arial" w:hAnsi="Arial" w:cs="Arial"/>
          <w:sz w:val="22"/>
          <w:szCs w:val="22"/>
        </w:rPr>
        <w:t xml:space="preserve"> euros, formados principalmente por las aportaciones de las Administraciones consorciadas: </w:t>
      </w:r>
    </w:p>
    <w:p w14:paraId="1EEF7751" w14:textId="77777777" w:rsidR="00487362" w:rsidRPr="00A97A6F" w:rsidRDefault="00487362" w:rsidP="00487362">
      <w:pPr>
        <w:pStyle w:val="Prrafodelista"/>
        <w:numPr>
          <w:ilvl w:val="0"/>
          <w:numId w:val="4"/>
        </w:numPr>
        <w:spacing w:before="120" w:line="300" w:lineRule="auto"/>
        <w:jc w:val="both"/>
        <w:rPr>
          <w:rFonts w:ascii="Arial" w:hAnsi="Arial" w:cs="Arial"/>
          <w:sz w:val="22"/>
          <w:szCs w:val="22"/>
        </w:rPr>
      </w:pPr>
      <w:r w:rsidRPr="00A97A6F">
        <w:rPr>
          <w:rFonts w:ascii="Arial" w:hAnsi="Arial" w:cs="Arial"/>
          <w:sz w:val="22"/>
          <w:szCs w:val="22"/>
        </w:rPr>
        <w:t xml:space="preserve">Administraciones Públicas locales: Cabildo </w:t>
      </w:r>
      <w:r>
        <w:rPr>
          <w:rFonts w:ascii="Arial" w:hAnsi="Arial" w:cs="Arial"/>
          <w:sz w:val="22"/>
          <w:szCs w:val="22"/>
        </w:rPr>
        <w:t xml:space="preserve">Insular </w:t>
      </w:r>
      <w:r w:rsidRPr="00A97A6F">
        <w:rPr>
          <w:rFonts w:ascii="Arial" w:hAnsi="Arial" w:cs="Arial"/>
          <w:sz w:val="22"/>
          <w:szCs w:val="22"/>
        </w:rPr>
        <w:t>de Tenerife</w:t>
      </w:r>
      <w:r>
        <w:rPr>
          <w:rFonts w:ascii="Arial" w:hAnsi="Arial" w:cs="Arial"/>
          <w:sz w:val="22"/>
          <w:szCs w:val="22"/>
        </w:rPr>
        <w:t xml:space="preserve"> y </w:t>
      </w:r>
      <w:r w:rsidRPr="00A97A6F">
        <w:rPr>
          <w:rFonts w:ascii="Arial" w:hAnsi="Arial" w:cs="Arial"/>
          <w:sz w:val="22"/>
          <w:szCs w:val="22"/>
        </w:rPr>
        <w:t>2</w:t>
      </w:r>
      <w:r>
        <w:rPr>
          <w:rFonts w:ascii="Arial" w:hAnsi="Arial" w:cs="Arial"/>
          <w:sz w:val="22"/>
          <w:szCs w:val="22"/>
        </w:rPr>
        <w:t>3</w:t>
      </w:r>
      <w:r w:rsidRPr="00A97A6F">
        <w:rPr>
          <w:rFonts w:ascii="Arial" w:hAnsi="Arial" w:cs="Arial"/>
          <w:sz w:val="22"/>
          <w:szCs w:val="22"/>
        </w:rPr>
        <w:t xml:space="preserve"> municipios de la isla de Tenerife.</w:t>
      </w:r>
    </w:p>
    <w:p w14:paraId="63C12EAC" w14:textId="77777777" w:rsidR="00487362" w:rsidRPr="00A97A6F" w:rsidRDefault="00487362" w:rsidP="00487362">
      <w:pPr>
        <w:pStyle w:val="Prrafodelista"/>
        <w:numPr>
          <w:ilvl w:val="0"/>
          <w:numId w:val="4"/>
        </w:numPr>
        <w:spacing w:before="120" w:line="300" w:lineRule="auto"/>
        <w:jc w:val="both"/>
        <w:rPr>
          <w:rFonts w:ascii="Arial" w:hAnsi="Arial" w:cs="Arial"/>
          <w:sz w:val="22"/>
          <w:szCs w:val="22"/>
        </w:rPr>
      </w:pPr>
      <w:r w:rsidRPr="00A97A6F">
        <w:rPr>
          <w:rFonts w:ascii="Arial" w:hAnsi="Arial" w:cs="Arial"/>
          <w:sz w:val="22"/>
          <w:szCs w:val="22"/>
        </w:rPr>
        <w:t>Administración Pública autonómica: Gobierno de Canarias.</w:t>
      </w:r>
    </w:p>
    <w:p w14:paraId="05286AEF" w14:textId="77777777" w:rsidR="00487362" w:rsidRPr="00A97A6F" w:rsidRDefault="00487362" w:rsidP="00487362">
      <w:pPr>
        <w:spacing w:before="120" w:line="300" w:lineRule="auto"/>
        <w:ind w:firstLine="708"/>
        <w:jc w:val="both"/>
        <w:rPr>
          <w:rFonts w:ascii="Arial" w:hAnsi="Arial" w:cs="Arial"/>
          <w:bCs/>
          <w:sz w:val="22"/>
          <w:szCs w:val="22"/>
        </w:rPr>
      </w:pPr>
      <w:r w:rsidRPr="00A97A6F">
        <w:rPr>
          <w:rFonts w:ascii="Arial" w:hAnsi="Arial" w:cs="Arial"/>
          <w:bCs/>
          <w:sz w:val="22"/>
          <w:szCs w:val="22"/>
        </w:rPr>
        <w:t>La aportación que se estima de la Comunidad Autónoma Canaria para el año 202</w:t>
      </w:r>
      <w:r>
        <w:rPr>
          <w:rFonts w:ascii="Arial" w:hAnsi="Arial" w:cs="Arial"/>
          <w:bCs/>
          <w:sz w:val="22"/>
          <w:szCs w:val="22"/>
        </w:rPr>
        <w:t>4</w:t>
      </w:r>
      <w:r w:rsidRPr="00A97A6F">
        <w:rPr>
          <w:rFonts w:ascii="Arial" w:hAnsi="Arial" w:cs="Arial"/>
          <w:bCs/>
          <w:sz w:val="22"/>
          <w:szCs w:val="22"/>
        </w:rPr>
        <w:t xml:space="preserve"> es de 2.</w:t>
      </w:r>
      <w:r>
        <w:rPr>
          <w:rFonts w:ascii="Arial" w:hAnsi="Arial" w:cs="Arial"/>
          <w:bCs/>
          <w:sz w:val="22"/>
          <w:szCs w:val="22"/>
        </w:rPr>
        <w:t>680.101</w:t>
      </w:r>
      <w:r w:rsidRPr="00A97A6F">
        <w:rPr>
          <w:rFonts w:ascii="Arial" w:hAnsi="Arial" w:cs="Arial"/>
          <w:bCs/>
          <w:sz w:val="22"/>
          <w:szCs w:val="22"/>
        </w:rPr>
        <w:t>,00 euros</w:t>
      </w:r>
      <w:r>
        <w:rPr>
          <w:rFonts w:ascii="Arial" w:hAnsi="Arial" w:cs="Arial"/>
          <w:bCs/>
          <w:sz w:val="22"/>
          <w:szCs w:val="22"/>
        </w:rPr>
        <w:t>, la misma que la del ejercicio anterior</w:t>
      </w:r>
      <w:r w:rsidRPr="00A97A6F">
        <w:rPr>
          <w:rFonts w:ascii="Arial" w:hAnsi="Arial" w:cs="Arial"/>
          <w:bCs/>
          <w:sz w:val="22"/>
          <w:szCs w:val="22"/>
        </w:rPr>
        <w:t xml:space="preserve">. </w:t>
      </w:r>
    </w:p>
    <w:p w14:paraId="7A9AFC42" w14:textId="77777777" w:rsidR="00487362" w:rsidRPr="00CA3979" w:rsidRDefault="00487362" w:rsidP="00487362">
      <w:pPr>
        <w:spacing w:before="120" w:line="300" w:lineRule="auto"/>
        <w:ind w:firstLine="708"/>
        <w:jc w:val="both"/>
        <w:rPr>
          <w:rFonts w:ascii="Arial" w:hAnsi="Arial" w:cs="Arial"/>
          <w:bCs/>
          <w:sz w:val="22"/>
          <w:szCs w:val="22"/>
        </w:rPr>
      </w:pPr>
      <w:r w:rsidRPr="00CA3979">
        <w:rPr>
          <w:rFonts w:ascii="Arial" w:hAnsi="Arial" w:cs="Arial"/>
          <w:bCs/>
          <w:sz w:val="22"/>
          <w:szCs w:val="22"/>
        </w:rPr>
        <w:t xml:space="preserve">El Excmo. Cabildo Insular de Tenerife asumirá el 40% del total de las aportaciones de las administraciones públicas locales, además de las que les correspondan a los </w:t>
      </w:r>
      <w:r>
        <w:rPr>
          <w:rFonts w:ascii="Arial" w:hAnsi="Arial" w:cs="Arial"/>
          <w:bCs/>
          <w:sz w:val="22"/>
          <w:szCs w:val="22"/>
        </w:rPr>
        <w:t>ocho</w:t>
      </w:r>
      <w:r w:rsidRPr="00CA3979">
        <w:rPr>
          <w:rFonts w:ascii="Arial" w:hAnsi="Arial" w:cs="Arial"/>
          <w:bCs/>
          <w:sz w:val="22"/>
          <w:szCs w:val="22"/>
        </w:rPr>
        <w:t xml:space="preserve"> ayuntamientos no consorciados: Buenavista, El Tanque, La Matanza, La Victoria, Santiago del Teide, Santa Úrsula</w:t>
      </w:r>
      <w:r>
        <w:rPr>
          <w:rFonts w:ascii="Arial" w:hAnsi="Arial" w:cs="Arial"/>
          <w:bCs/>
          <w:sz w:val="22"/>
          <w:szCs w:val="22"/>
        </w:rPr>
        <w:t xml:space="preserve">, </w:t>
      </w:r>
      <w:r w:rsidRPr="00CA3979">
        <w:rPr>
          <w:rFonts w:ascii="Arial" w:hAnsi="Arial" w:cs="Arial"/>
          <w:bCs/>
          <w:sz w:val="22"/>
          <w:szCs w:val="22"/>
        </w:rPr>
        <w:t>San Juan de la Rambla</w:t>
      </w:r>
      <w:r>
        <w:rPr>
          <w:rFonts w:ascii="Arial" w:hAnsi="Arial" w:cs="Arial"/>
          <w:bCs/>
          <w:sz w:val="22"/>
          <w:szCs w:val="22"/>
        </w:rPr>
        <w:t xml:space="preserve"> y Los Silos (a partir de 2024)</w:t>
      </w:r>
      <w:r w:rsidRPr="00CA3979">
        <w:rPr>
          <w:rFonts w:ascii="Arial" w:hAnsi="Arial" w:cs="Arial"/>
          <w:bCs/>
          <w:sz w:val="22"/>
          <w:szCs w:val="22"/>
        </w:rPr>
        <w:t>. El resto de ayuntamientos de la isla realizarán sus aportaciones hasta completar el 100% del total.</w:t>
      </w:r>
    </w:p>
    <w:p w14:paraId="26CC5AFA" w14:textId="77777777" w:rsidR="00487362" w:rsidRPr="00CA3979" w:rsidRDefault="00487362" w:rsidP="00487362">
      <w:pPr>
        <w:spacing w:before="120" w:line="300" w:lineRule="auto"/>
        <w:ind w:firstLine="708"/>
        <w:jc w:val="both"/>
        <w:rPr>
          <w:rFonts w:ascii="Arial" w:hAnsi="Arial" w:cs="Arial"/>
          <w:bCs/>
          <w:sz w:val="22"/>
          <w:szCs w:val="22"/>
        </w:rPr>
      </w:pPr>
      <w:r w:rsidRPr="00CA3979">
        <w:rPr>
          <w:rFonts w:ascii="Arial" w:hAnsi="Arial" w:cs="Arial"/>
          <w:bCs/>
          <w:sz w:val="22"/>
          <w:szCs w:val="22"/>
        </w:rPr>
        <w:t>Asimismo, el Cabildo Insular aportará una subvención específica de corriente para las Asociaciones de Bomberos Voluntarios de la isla por importe de 100.000,00 euros, que será distribuida entre las nueve asociaciones.</w:t>
      </w:r>
    </w:p>
    <w:p w14:paraId="08CAEAFC" w14:textId="77777777" w:rsidR="00487362" w:rsidRPr="00A027FB" w:rsidRDefault="00487362" w:rsidP="00487362">
      <w:pPr>
        <w:spacing w:before="120" w:line="300" w:lineRule="auto"/>
        <w:ind w:firstLine="708"/>
        <w:jc w:val="both"/>
        <w:rPr>
          <w:rFonts w:ascii="Arial" w:hAnsi="Arial" w:cs="Arial"/>
          <w:bCs/>
          <w:sz w:val="22"/>
          <w:szCs w:val="22"/>
        </w:rPr>
      </w:pPr>
      <w:r w:rsidRPr="00A027FB">
        <w:rPr>
          <w:rFonts w:ascii="Arial" w:hAnsi="Arial" w:cs="Arial"/>
          <w:bCs/>
          <w:sz w:val="22"/>
          <w:szCs w:val="22"/>
        </w:rPr>
        <w:t xml:space="preserve">Los recursos por los que se nutre este Consorcio vienen recogidos en el artículo 30 de sus Estatutos. </w:t>
      </w:r>
    </w:p>
    <w:p w14:paraId="6BA587EE" w14:textId="77777777" w:rsidR="00487362" w:rsidRPr="00A97A6F" w:rsidRDefault="00487362" w:rsidP="00487362">
      <w:pPr>
        <w:spacing w:before="120" w:line="300" w:lineRule="auto"/>
        <w:ind w:firstLine="708"/>
        <w:jc w:val="both"/>
        <w:rPr>
          <w:rFonts w:ascii="Arial" w:hAnsi="Arial" w:cs="Arial"/>
          <w:sz w:val="22"/>
          <w:szCs w:val="22"/>
        </w:rPr>
      </w:pPr>
      <w:r w:rsidRPr="00A97A6F">
        <w:rPr>
          <w:rFonts w:ascii="Arial" w:hAnsi="Arial" w:cs="Arial"/>
          <w:sz w:val="22"/>
          <w:szCs w:val="22"/>
        </w:rPr>
        <w:lastRenderedPageBreak/>
        <w:t xml:space="preserve">El </w:t>
      </w:r>
      <w:r>
        <w:rPr>
          <w:rFonts w:ascii="Arial" w:hAnsi="Arial" w:cs="Arial"/>
          <w:sz w:val="22"/>
          <w:szCs w:val="22"/>
        </w:rPr>
        <w:t>87,95</w:t>
      </w:r>
      <w:r w:rsidRPr="00A97A6F">
        <w:rPr>
          <w:rFonts w:ascii="Arial" w:hAnsi="Arial" w:cs="Arial"/>
          <w:sz w:val="22"/>
          <w:szCs w:val="22"/>
        </w:rPr>
        <w:t>% del Presupuesto del Consorcio para 202</w:t>
      </w:r>
      <w:r>
        <w:rPr>
          <w:rFonts w:ascii="Arial" w:hAnsi="Arial" w:cs="Arial"/>
          <w:sz w:val="22"/>
          <w:szCs w:val="22"/>
        </w:rPr>
        <w:t>4</w:t>
      </w:r>
      <w:r w:rsidRPr="00A97A6F">
        <w:rPr>
          <w:rFonts w:ascii="Arial" w:hAnsi="Arial" w:cs="Arial"/>
          <w:sz w:val="22"/>
          <w:szCs w:val="22"/>
        </w:rPr>
        <w:t xml:space="preserve"> está financiado por las aportaciones de las administraciones públicas consorciadas, de las que el 7</w:t>
      </w:r>
      <w:r>
        <w:rPr>
          <w:rFonts w:ascii="Arial" w:hAnsi="Arial" w:cs="Arial"/>
          <w:sz w:val="22"/>
          <w:szCs w:val="22"/>
        </w:rPr>
        <w:t>7,46</w:t>
      </w:r>
      <w:r w:rsidRPr="00A97A6F">
        <w:rPr>
          <w:rFonts w:ascii="Arial" w:hAnsi="Arial" w:cs="Arial"/>
          <w:sz w:val="22"/>
          <w:szCs w:val="22"/>
        </w:rPr>
        <w:t xml:space="preserve">% son de entidades locales y el </w:t>
      </w:r>
      <w:r>
        <w:rPr>
          <w:rFonts w:ascii="Arial" w:hAnsi="Arial" w:cs="Arial"/>
          <w:sz w:val="22"/>
          <w:szCs w:val="22"/>
        </w:rPr>
        <w:t>10,49</w:t>
      </w:r>
      <w:r w:rsidRPr="00A97A6F">
        <w:rPr>
          <w:rFonts w:ascii="Arial" w:hAnsi="Arial" w:cs="Arial"/>
          <w:sz w:val="22"/>
          <w:szCs w:val="22"/>
        </w:rPr>
        <w:t xml:space="preserve">% del Gobierno de Canarias. </w:t>
      </w:r>
    </w:p>
    <w:p w14:paraId="485CB31E" w14:textId="77777777" w:rsidR="00487362" w:rsidRPr="00A97A6F" w:rsidRDefault="00487362" w:rsidP="00487362">
      <w:pPr>
        <w:spacing w:before="120" w:line="300" w:lineRule="auto"/>
        <w:ind w:firstLine="709"/>
        <w:jc w:val="both"/>
        <w:rPr>
          <w:rFonts w:ascii="Arial" w:hAnsi="Arial" w:cs="Arial"/>
          <w:sz w:val="22"/>
          <w:szCs w:val="22"/>
        </w:rPr>
      </w:pPr>
      <w:r w:rsidRPr="00A97A6F">
        <w:rPr>
          <w:rFonts w:ascii="Arial" w:hAnsi="Arial" w:cs="Arial"/>
          <w:sz w:val="22"/>
          <w:szCs w:val="22"/>
        </w:rPr>
        <w:t xml:space="preserve">La estimación de ingresos en concepto de contribución especial de las entidades aseguradoras y reaseguradoras que cubren el riesgo de incendios en la isla de Tenerife, supone un </w:t>
      </w:r>
      <w:r>
        <w:rPr>
          <w:rFonts w:ascii="Arial" w:hAnsi="Arial" w:cs="Arial"/>
          <w:sz w:val="22"/>
          <w:szCs w:val="22"/>
        </w:rPr>
        <w:t>9,78</w:t>
      </w:r>
      <w:r w:rsidRPr="00A97A6F">
        <w:rPr>
          <w:rFonts w:ascii="Arial" w:hAnsi="Arial" w:cs="Arial"/>
          <w:sz w:val="22"/>
          <w:szCs w:val="22"/>
        </w:rPr>
        <w:t xml:space="preserve">% del total del Presupuesto. </w:t>
      </w:r>
    </w:p>
    <w:p w14:paraId="275050E7" w14:textId="77777777" w:rsidR="00487362" w:rsidRDefault="00487362" w:rsidP="00487362">
      <w:pPr>
        <w:spacing w:before="120" w:line="300" w:lineRule="auto"/>
        <w:ind w:firstLine="709"/>
        <w:jc w:val="both"/>
        <w:rPr>
          <w:rFonts w:ascii="Arial" w:hAnsi="Arial" w:cs="Arial"/>
          <w:sz w:val="22"/>
          <w:szCs w:val="22"/>
        </w:rPr>
      </w:pPr>
      <w:r w:rsidRPr="00A97A6F">
        <w:rPr>
          <w:rFonts w:ascii="Arial" w:hAnsi="Arial" w:cs="Arial"/>
          <w:sz w:val="22"/>
          <w:szCs w:val="22"/>
        </w:rPr>
        <w:t>Las tasas por prestación de servicios y los precios públicos por retenes, solo alcanzan el 0,</w:t>
      </w:r>
      <w:r>
        <w:rPr>
          <w:rFonts w:ascii="Arial" w:hAnsi="Arial" w:cs="Arial"/>
          <w:sz w:val="22"/>
          <w:szCs w:val="22"/>
        </w:rPr>
        <w:t>90</w:t>
      </w:r>
      <w:r w:rsidRPr="00A97A6F">
        <w:rPr>
          <w:rFonts w:ascii="Arial" w:hAnsi="Arial" w:cs="Arial"/>
          <w:sz w:val="22"/>
          <w:szCs w:val="22"/>
        </w:rPr>
        <w:t xml:space="preserve">%. </w:t>
      </w:r>
    </w:p>
    <w:p w14:paraId="4F3C80F0" w14:textId="77777777" w:rsidR="00487362" w:rsidRPr="00A97A6F" w:rsidRDefault="00487362" w:rsidP="00487362">
      <w:pPr>
        <w:spacing w:before="120" w:line="300" w:lineRule="auto"/>
        <w:ind w:firstLine="709"/>
        <w:jc w:val="both"/>
        <w:rPr>
          <w:rFonts w:ascii="Arial" w:hAnsi="Arial" w:cs="Arial"/>
          <w:sz w:val="22"/>
          <w:szCs w:val="22"/>
        </w:rPr>
      </w:pPr>
      <w:r w:rsidRPr="00A97A6F">
        <w:rPr>
          <w:rFonts w:ascii="Arial" w:hAnsi="Arial" w:cs="Arial"/>
          <w:sz w:val="22"/>
          <w:szCs w:val="22"/>
        </w:rPr>
        <w:t xml:space="preserve">El resto de los ingresos está formado por </w:t>
      </w:r>
      <w:r>
        <w:rPr>
          <w:rFonts w:ascii="Arial" w:hAnsi="Arial" w:cs="Arial"/>
          <w:sz w:val="22"/>
          <w:szCs w:val="22"/>
        </w:rPr>
        <w:t xml:space="preserve">intereses de cuentas bancarias por excedentes de tesorería y </w:t>
      </w:r>
      <w:r w:rsidRPr="00A97A6F">
        <w:rPr>
          <w:rFonts w:ascii="Arial" w:hAnsi="Arial" w:cs="Arial"/>
          <w:sz w:val="22"/>
          <w:szCs w:val="22"/>
        </w:rPr>
        <w:t>reintegros de anticipos al personal, un 1,</w:t>
      </w:r>
      <w:r>
        <w:rPr>
          <w:rFonts w:ascii="Arial" w:hAnsi="Arial" w:cs="Arial"/>
          <w:sz w:val="22"/>
          <w:szCs w:val="22"/>
        </w:rPr>
        <w:t>37</w:t>
      </w:r>
      <w:r w:rsidRPr="00A97A6F">
        <w:rPr>
          <w:rFonts w:ascii="Arial" w:hAnsi="Arial" w:cs="Arial"/>
          <w:sz w:val="22"/>
          <w:szCs w:val="22"/>
        </w:rPr>
        <w:t>%.</w:t>
      </w:r>
    </w:p>
    <w:p w14:paraId="5F2B5AEA" w14:textId="77777777" w:rsidR="00487362" w:rsidRPr="00BB30A6" w:rsidRDefault="00487362" w:rsidP="00487362">
      <w:pPr>
        <w:spacing w:before="120" w:line="300" w:lineRule="auto"/>
        <w:ind w:firstLine="709"/>
        <w:jc w:val="both"/>
        <w:rPr>
          <w:rFonts w:ascii="Arial" w:hAnsi="Arial" w:cs="Arial"/>
          <w:bCs/>
          <w:color w:val="FF0000"/>
          <w:sz w:val="22"/>
          <w:szCs w:val="22"/>
          <w:highlight w:val="yellow"/>
        </w:rPr>
      </w:pPr>
    </w:p>
    <w:p w14:paraId="1D4BBA25" w14:textId="77777777" w:rsidR="00487362" w:rsidRPr="00E07D81" w:rsidRDefault="00487362" w:rsidP="00487362">
      <w:pPr>
        <w:spacing w:before="120" w:line="300" w:lineRule="auto"/>
        <w:ind w:firstLine="709"/>
        <w:jc w:val="both"/>
        <w:rPr>
          <w:rFonts w:ascii="Arial" w:hAnsi="Arial" w:cs="Arial"/>
          <w:sz w:val="22"/>
          <w:szCs w:val="22"/>
        </w:rPr>
      </w:pPr>
      <w:r w:rsidRPr="00E07D81">
        <w:rPr>
          <w:rFonts w:ascii="Arial" w:hAnsi="Arial" w:cs="Arial"/>
          <w:bCs/>
          <w:sz w:val="22"/>
          <w:szCs w:val="22"/>
        </w:rPr>
        <w:t xml:space="preserve">El </w:t>
      </w:r>
      <w:r w:rsidRPr="00E07D81">
        <w:rPr>
          <w:rFonts w:ascii="Arial" w:hAnsi="Arial" w:cs="Arial"/>
          <w:b/>
          <w:bCs/>
          <w:sz w:val="22"/>
          <w:szCs w:val="22"/>
          <w:u w:val="single"/>
        </w:rPr>
        <w:t>Presupuesto de Gastos</w:t>
      </w:r>
      <w:r w:rsidRPr="00E07D81">
        <w:rPr>
          <w:rFonts w:ascii="Arial" w:hAnsi="Arial" w:cs="Arial"/>
          <w:bCs/>
          <w:sz w:val="22"/>
          <w:szCs w:val="22"/>
        </w:rPr>
        <w:t xml:space="preserve"> para el ejercicio 202</w:t>
      </w:r>
      <w:r>
        <w:rPr>
          <w:rFonts w:ascii="Arial" w:hAnsi="Arial" w:cs="Arial"/>
          <w:bCs/>
          <w:sz w:val="22"/>
          <w:szCs w:val="22"/>
        </w:rPr>
        <w:t>4</w:t>
      </w:r>
      <w:r w:rsidRPr="00E07D81">
        <w:rPr>
          <w:rFonts w:ascii="Arial" w:hAnsi="Arial" w:cs="Arial"/>
          <w:bCs/>
          <w:sz w:val="22"/>
          <w:szCs w:val="22"/>
        </w:rPr>
        <w:t xml:space="preserve"> asciende a </w:t>
      </w:r>
      <w:r>
        <w:rPr>
          <w:rFonts w:ascii="Arial" w:hAnsi="Arial" w:cs="Arial"/>
          <w:bCs/>
          <w:sz w:val="22"/>
          <w:szCs w:val="22"/>
        </w:rPr>
        <w:t>25.552.274,79</w:t>
      </w:r>
      <w:r w:rsidRPr="00E07D81">
        <w:rPr>
          <w:rFonts w:ascii="Arial" w:hAnsi="Arial" w:cs="Arial"/>
          <w:bCs/>
          <w:sz w:val="22"/>
          <w:szCs w:val="22"/>
        </w:rPr>
        <w:t xml:space="preserve"> euros, lo que supone un incremento </w:t>
      </w:r>
      <w:r>
        <w:rPr>
          <w:rFonts w:ascii="Arial" w:hAnsi="Arial" w:cs="Arial"/>
          <w:bCs/>
          <w:sz w:val="22"/>
          <w:szCs w:val="22"/>
        </w:rPr>
        <w:t>del</w:t>
      </w:r>
      <w:r w:rsidRPr="00E07D81">
        <w:rPr>
          <w:rFonts w:ascii="Arial" w:hAnsi="Arial" w:cs="Arial"/>
          <w:bCs/>
          <w:sz w:val="22"/>
          <w:szCs w:val="22"/>
        </w:rPr>
        <w:t xml:space="preserve"> </w:t>
      </w:r>
      <w:r>
        <w:rPr>
          <w:rFonts w:ascii="Arial" w:hAnsi="Arial" w:cs="Arial"/>
          <w:bCs/>
          <w:sz w:val="22"/>
          <w:szCs w:val="22"/>
        </w:rPr>
        <w:t>9,64</w:t>
      </w:r>
      <w:r w:rsidRPr="00E07D81">
        <w:rPr>
          <w:rFonts w:ascii="Arial" w:hAnsi="Arial" w:cs="Arial"/>
          <w:bCs/>
          <w:sz w:val="22"/>
          <w:szCs w:val="22"/>
        </w:rPr>
        <w:t xml:space="preserve">% con respecto al ejercicio </w:t>
      </w:r>
      <w:r>
        <w:rPr>
          <w:rFonts w:ascii="Arial" w:hAnsi="Arial" w:cs="Arial"/>
          <w:bCs/>
          <w:sz w:val="22"/>
          <w:szCs w:val="22"/>
        </w:rPr>
        <w:t>anterior</w:t>
      </w:r>
      <w:r w:rsidRPr="00E07D81">
        <w:rPr>
          <w:rFonts w:ascii="Arial" w:hAnsi="Arial" w:cs="Arial"/>
          <w:bCs/>
          <w:sz w:val="22"/>
          <w:szCs w:val="22"/>
        </w:rPr>
        <w:t xml:space="preserve">. </w:t>
      </w:r>
    </w:p>
    <w:p w14:paraId="7D30EFEF" w14:textId="77777777" w:rsidR="00487362" w:rsidRPr="0057617C" w:rsidRDefault="00487362" w:rsidP="00487362">
      <w:pPr>
        <w:spacing w:beforeLines="120" w:before="288" w:line="300" w:lineRule="auto"/>
        <w:ind w:firstLine="709"/>
        <w:jc w:val="both"/>
        <w:rPr>
          <w:rFonts w:ascii="Arial" w:hAnsi="Arial" w:cs="Arial"/>
          <w:sz w:val="22"/>
          <w:szCs w:val="22"/>
        </w:rPr>
      </w:pPr>
      <w:bookmarkStart w:id="0" w:name="_Hlk117667373"/>
      <w:bookmarkStart w:id="1" w:name="_Hlk118714610"/>
      <w:r w:rsidRPr="0057617C">
        <w:rPr>
          <w:rFonts w:ascii="Arial" w:hAnsi="Arial" w:cs="Arial"/>
          <w:b/>
          <w:bCs/>
          <w:sz w:val="22"/>
          <w:szCs w:val="22"/>
          <w:u w:val="single"/>
        </w:rPr>
        <w:t>Capítulo I</w:t>
      </w:r>
      <w:r w:rsidRPr="0057617C">
        <w:rPr>
          <w:rFonts w:ascii="Arial" w:hAnsi="Arial" w:cs="Arial"/>
          <w:bCs/>
          <w:sz w:val="22"/>
          <w:szCs w:val="22"/>
        </w:rPr>
        <w:t xml:space="preserve">: </w:t>
      </w:r>
      <w:r w:rsidRPr="0057617C">
        <w:rPr>
          <w:rFonts w:ascii="Arial" w:hAnsi="Arial" w:cs="Arial"/>
          <w:sz w:val="22"/>
          <w:szCs w:val="22"/>
        </w:rPr>
        <w:t xml:space="preserve">El Capítulo I del Presupuesto del Consorcio para 2024, asciende a 20.109.635,01 euros, siendo el 78,70% del total del Presupuesto del Consorcio. </w:t>
      </w:r>
    </w:p>
    <w:bookmarkEnd w:id="0"/>
    <w:bookmarkEnd w:id="1"/>
    <w:p w14:paraId="5971A380" w14:textId="77777777" w:rsidR="00487362" w:rsidRPr="00E07D81" w:rsidRDefault="00487362" w:rsidP="00487362">
      <w:pPr>
        <w:spacing w:before="120" w:line="300" w:lineRule="auto"/>
        <w:ind w:firstLine="709"/>
        <w:jc w:val="both"/>
        <w:rPr>
          <w:rFonts w:ascii="Arial" w:hAnsi="Arial" w:cs="Arial"/>
          <w:sz w:val="22"/>
          <w:szCs w:val="22"/>
        </w:rPr>
      </w:pPr>
      <w:r w:rsidRPr="0057617C">
        <w:rPr>
          <w:rFonts w:ascii="Arial" w:hAnsi="Arial" w:cs="Arial"/>
          <w:sz w:val="22"/>
          <w:szCs w:val="22"/>
        </w:rPr>
        <w:t>El incremento de este capítulo con respecto al ejercicio anterior es de 1.038.194,74 euros, lo que supone un 5,44%.</w:t>
      </w:r>
    </w:p>
    <w:p w14:paraId="779A531E"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En la elaboración de este Capítulo, además de las disposiciones normativas que regulan las retribuciones de los empleados públicos, se han tenido en cuenta los criterios previstos en el Acuerdo adoptado por el Consejo de Gobierno Insular del Excmo. Cabildo Insular de Tenerife el 2 de agosto de 2023, así como los compromisos derivados del cumplimiento del vigente Acuerdo de Condiciones de Trabajo del Personal Funcionario de esta Entidad y de la aplicación del Convenio Colectivo del Personal Laboral, materializando adicionalmente los compromisos adquiridos tras la formalización del Acuerdo de Final de huelga suscrito entre este Consorcio y los representantes sociales, aprobado por el Pleno del Consorcio en su sesión de 28 de junio de 2017, y los acuerdos alcanzados en la Mesa General de Negociación celebrada el pasado 12 de abril de 2019, aprobados por el Pleno de este Consorcio en su sesión de fecha 8 de mayo de 2019, y el más reciente, el Acuerdo de Mesa General del Consorcio de 15 de julio de 2022, aprobado en la sesión del Pleno de la Entidad de fecha 21 de octubre de 2022, y todo ello en virtud de lo previsto en el artículo 121 de la Ley 40/2015, de 1 de octubre, de Régimen Jurídico del Sector Público, que establece respecto al personal de los Consorcios, que su régimen jurídico será el de la Administración Pública de adscripción y sus retribuciones en ningún caso podrán superar las establecidas para puestos de trabajo equivalentes en aquélla, </w:t>
      </w:r>
    </w:p>
    <w:p w14:paraId="76739C22" w14:textId="77777777" w:rsidR="00487362" w:rsidRPr="00C954DA" w:rsidRDefault="00487362" w:rsidP="00487362">
      <w:pPr>
        <w:spacing w:before="240" w:line="300" w:lineRule="auto"/>
        <w:ind w:firstLine="709"/>
        <w:jc w:val="both"/>
        <w:rPr>
          <w:rFonts w:ascii="Arial" w:hAnsi="Arial" w:cs="Arial"/>
          <w:sz w:val="22"/>
          <w:szCs w:val="22"/>
        </w:rPr>
      </w:pPr>
      <w:r w:rsidRPr="00C954DA">
        <w:rPr>
          <w:rFonts w:ascii="Arial" w:hAnsi="Arial" w:cs="Arial"/>
          <w:sz w:val="22"/>
          <w:szCs w:val="22"/>
        </w:rPr>
        <w:t>A nivel presupuestario, todo lo anterior se puede resumir en lo siguiente:</w:t>
      </w:r>
    </w:p>
    <w:p w14:paraId="4C39B678" w14:textId="77777777" w:rsidR="00487362" w:rsidRPr="00C954DA" w:rsidRDefault="00487362" w:rsidP="00487362">
      <w:pPr>
        <w:spacing w:before="120" w:line="300" w:lineRule="auto"/>
        <w:ind w:firstLine="709"/>
        <w:jc w:val="both"/>
        <w:rPr>
          <w:rFonts w:ascii="Arial" w:hAnsi="Arial" w:cs="Arial"/>
        </w:rPr>
      </w:pPr>
      <w:r w:rsidRPr="00C954DA">
        <w:rPr>
          <w:rFonts w:ascii="Arial" w:hAnsi="Arial" w:cs="Arial"/>
          <w:b/>
          <w:sz w:val="22"/>
          <w:szCs w:val="22"/>
        </w:rPr>
        <w:lastRenderedPageBreak/>
        <w:t>-Incremento del 0,5%</w:t>
      </w:r>
      <w:r w:rsidRPr="00C954DA">
        <w:rPr>
          <w:rFonts w:ascii="Arial" w:hAnsi="Arial" w:cs="Arial"/>
          <w:sz w:val="22"/>
          <w:szCs w:val="22"/>
        </w:rPr>
        <w:t xml:space="preserve"> en las retribuciones del personal sobre las retribuciones a 31 de diciembre de 2022, en aplicación de lo previsto en el Título III, Capítulo I, artículo 19 de la Ley 31/2022, de 23 de diciembre, de Presupuestos Generales del Estado para el año 2023. Esto es el incremento vinculado a la evolución del índice de Precios al Consumo Armonizado (IPCA), en relación a la suma del IPCA del año 2022</w:t>
      </w:r>
      <w:r>
        <w:rPr>
          <w:rFonts w:ascii="Arial" w:hAnsi="Arial" w:cs="Arial"/>
          <w:sz w:val="22"/>
          <w:szCs w:val="22"/>
        </w:rPr>
        <w:t xml:space="preserve"> y del IPCA</w:t>
      </w:r>
      <w:r w:rsidRPr="00C954DA">
        <w:rPr>
          <w:rFonts w:ascii="Arial" w:hAnsi="Arial" w:cs="Arial"/>
          <w:sz w:val="22"/>
          <w:szCs w:val="22"/>
        </w:rPr>
        <w:t xml:space="preserve"> adelantado del mes de septiembre de 2023</w:t>
      </w:r>
      <w:r>
        <w:rPr>
          <w:rFonts w:ascii="Arial" w:hAnsi="Arial" w:cs="Arial"/>
          <w:sz w:val="22"/>
          <w:szCs w:val="22"/>
        </w:rPr>
        <w:t>, que</w:t>
      </w:r>
      <w:r w:rsidRPr="00C954DA">
        <w:rPr>
          <w:rFonts w:ascii="Arial" w:hAnsi="Arial" w:cs="Arial"/>
          <w:sz w:val="22"/>
          <w:szCs w:val="22"/>
        </w:rPr>
        <w:t xml:space="preserve"> al ser superior al 6 por ciento, se aplicará un incremento</w:t>
      </w:r>
      <w:r w:rsidRPr="009F2FF8">
        <w:rPr>
          <w:rFonts w:ascii="Arial" w:hAnsi="Arial" w:cs="Arial"/>
          <w:sz w:val="22"/>
          <w:szCs w:val="22"/>
        </w:rPr>
        <w:t xml:space="preserve"> retributivo adicional máximo del 0,5 por ciento.</w:t>
      </w:r>
      <w:r w:rsidRPr="00C954DA">
        <w:rPr>
          <w:rFonts w:ascii="Arial" w:hAnsi="Arial" w:cs="Arial"/>
        </w:rPr>
        <w:t xml:space="preserve"> </w:t>
      </w:r>
    </w:p>
    <w:p w14:paraId="5D19E5A5" w14:textId="77777777" w:rsidR="00487362" w:rsidRPr="00C954DA" w:rsidRDefault="00487362" w:rsidP="00487362">
      <w:pPr>
        <w:pStyle w:val="Default"/>
        <w:spacing w:line="276" w:lineRule="auto"/>
        <w:ind w:firstLine="709"/>
        <w:jc w:val="both"/>
        <w:rPr>
          <w:rFonts w:ascii="Arial" w:hAnsi="Arial" w:cs="Arial"/>
          <w:color w:val="auto"/>
          <w:sz w:val="20"/>
          <w:szCs w:val="20"/>
        </w:rPr>
      </w:pPr>
    </w:p>
    <w:p w14:paraId="458BD2CB" w14:textId="77777777" w:rsidR="00487362" w:rsidRDefault="00487362" w:rsidP="00487362">
      <w:pPr>
        <w:spacing w:before="120" w:line="300" w:lineRule="auto"/>
        <w:ind w:firstLine="709"/>
        <w:jc w:val="both"/>
        <w:rPr>
          <w:rFonts w:ascii="Arial" w:hAnsi="Arial" w:cs="Arial"/>
          <w:sz w:val="22"/>
          <w:szCs w:val="22"/>
        </w:rPr>
      </w:pPr>
      <w:r w:rsidRPr="00C954DA">
        <w:rPr>
          <w:rFonts w:ascii="Arial" w:hAnsi="Arial" w:cs="Arial"/>
          <w:b/>
          <w:sz w:val="22"/>
          <w:szCs w:val="22"/>
        </w:rPr>
        <w:t>-Adicionalmente al incremento anterior, se ha realizado otro incremento del 0,5%</w:t>
      </w:r>
      <w:r w:rsidRPr="00C954DA">
        <w:rPr>
          <w:rFonts w:ascii="Arial" w:hAnsi="Arial" w:cs="Arial"/>
          <w:sz w:val="22"/>
          <w:szCs w:val="22"/>
        </w:rPr>
        <w:t xml:space="preserve"> en las retribuciones del personal sobre las retribuciones a 31 de diciembre de 2022 vinculado a la evolución del Producto Interior Bruto (PIB) nominal en el año 2023, también en cumplimiento de las previsiones del artículo 19 de la Ley 31/2022, de 23 de diciembre, de Presupuestos Generales del Estado para el año 2023</w:t>
      </w:r>
      <w:r>
        <w:rPr>
          <w:rFonts w:ascii="Arial" w:hAnsi="Arial" w:cs="Arial"/>
          <w:sz w:val="22"/>
          <w:szCs w:val="22"/>
        </w:rPr>
        <w:t>.</w:t>
      </w:r>
    </w:p>
    <w:p w14:paraId="20228625" w14:textId="77777777" w:rsidR="00487362"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Al margen de los incrementos legalmente contemplados, se ha mantenido la limitación del crecimiento de los gastos de personal, de tal manera que las retribuciones del personal en la propuesta de Presupuesto de esta Administración, no ha experimentado variación alguna respecto a las vigentes a 31 de diciembre de 2023, en términos de homogeneidad para los dos períodos de la comparación.</w:t>
      </w:r>
    </w:p>
    <w:p w14:paraId="67810F75"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Incremento </w:t>
      </w:r>
      <w:proofErr w:type="gramStart"/>
      <w:r w:rsidRPr="00C954DA">
        <w:rPr>
          <w:rFonts w:ascii="Arial" w:hAnsi="Arial" w:cs="Arial"/>
          <w:sz w:val="22"/>
          <w:szCs w:val="22"/>
        </w:rPr>
        <w:t>de los mínimo</w:t>
      </w:r>
      <w:proofErr w:type="gramEnd"/>
      <w:r w:rsidRPr="00C954DA">
        <w:rPr>
          <w:rFonts w:ascii="Arial" w:hAnsi="Arial" w:cs="Arial"/>
          <w:sz w:val="22"/>
          <w:szCs w:val="22"/>
        </w:rPr>
        <w:t xml:space="preserve"> diarios. Con la apertura del Parque de Bomberos de Güímar el pasado mes de mayo, la dotación diaria ha pasado de 44 a 48 por lo que el Presupuesto de 2024, ha sido confeccionado para soportar el citado incremento de mínimos diarios durante todo el ejercicio.</w:t>
      </w:r>
    </w:p>
    <w:p w14:paraId="5D3AE96C"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 Para dar respuesta a lo anterior, se han dotado económicamente 15 plazas ya existentes en la categoría de Bombero Especialista Conductor durante todo el año que en el presupuesto de 2023 se encontraban dotadas parcialmente, con el objeto de cumplir con los efectivos mínimos diarios informados por el Oficial-Jefe y dar cumplimento, en este sentido, al acuerdo plenario de 28 de junio de 2017 (BOP nº94, de 7 agosto de 2017), por el que se acordó incrementar el número de efectivos mínimos diarios a partir de la apertura del citado Parque de Bomberos. </w:t>
      </w:r>
    </w:p>
    <w:p w14:paraId="3819BFFB"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Procede </w:t>
      </w:r>
      <w:proofErr w:type="gramStart"/>
      <w:r w:rsidRPr="00C954DA">
        <w:rPr>
          <w:rFonts w:ascii="Arial" w:hAnsi="Arial" w:cs="Arial"/>
          <w:sz w:val="22"/>
          <w:szCs w:val="22"/>
        </w:rPr>
        <w:t>significar</w:t>
      </w:r>
      <w:proofErr w:type="gramEnd"/>
      <w:r w:rsidRPr="00C954DA">
        <w:rPr>
          <w:rFonts w:ascii="Arial" w:hAnsi="Arial" w:cs="Arial"/>
          <w:sz w:val="22"/>
          <w:szCs w:val="22"/>
        </w:rPr>
        <w:t xml:space="preserve"> asimismo, que en el Presupuesto de este Consorcio para el ejercicio </w:t>
      </w:r>
      <w:r w:rsidRPr="00366266">
        <w:rPr>
          <w:rFonts w:ascii="Arial" w:hAnsi="Arial" w:cs="Arial"/>
          <w:sz w:val="22"/>
          <w:szCs w:val="22"/>
        </w:rPr>
        <w:t xml:space="preserve">2024, </w:t>
      </w:r>
      <w:r w:rsidRPr="00C954DA">
        <w:rPr>
          <w:rFonts w:ascii="Arial" w:hAnsi="Arial" w:cs="Arial"/>
          <w:sz w:val="22"/>
          <w:szCs w:val="22"/>
        </w:rPr>
        <w:t xml:space="preserve">se han creado y dotado 20 plazas más de Bombero Especialista Conductor, 10 de las cuales con objeto de dar respuesta a la apertura provisional del Parque de Bomberos de Guía de Isora en el mes de </w:t>
      </w:r>
      <w:r>
        <w:rPr>
          <w:rFonts w:ascii="Arial" w:hAnsi="Arial" w:cs="Arial"/>
          <w:sz w:val="22"/>
          <w:szCs w:val="22"/>
        </w:rPr>
        <w:t>mayo</w:t>
      </w:r>
      <w:r w:rsidRPr="00C954DA">
        <w:rPr>
          <w:rFonts w:ascii="Arial" w:hAnsi="Arial" w:cs="Arial"/>
          <w:sz w:val="22"/>
          <w:szCs w:val="22"/>
        </w:rPr>
        <w:t xml:space="preserve"> de 2024, y otras 10 dotadas a 1</w:t>
      </w:r>
      <w:r>
        <w:rPr>
          <w:rFonts w:ascii="Arial" w:hAnsi="Arial" w:cs="Arial"/>
          <w:sz w:val="22"/>
          <w:szCs w:val="22"/>
        </w:rPr>
        <w:t>5 días,</w:t>
      </w:r>
      <w:r w:rsidRPr="00C954DA">
        <w:rPr>
          <w:rFonts w:ascii="Arial" w:hAnsi="Arial" w:cs="Arial"/>
          <w:sz w:val="22"/>
          <w:szCs w:val="22"/>
        </w:rPr>
        <w:t xml:space="preserve"> a los efectos de ser destinadas a la apertura del Parque de Bomberos de Arona en el último trimestre del próximo año.</w:t>
      </w:r>
    </w:p>
    <w:p w14:paraId="4EE6E1AA"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 Las guardias de convenio del personal operativo sujeto a turno establecidas en el Acuerdo de Condiciones de Trabajo del Personal Funcionario del Consorcio, por aplicación del acuerdo de la Mesa General de 15 de julio se han reducido a 3 guardias anuales, dándose cumplimiento a la Disposición Adicional centésima cuadragésima cuarta (144ª) de la LPGE para 2018, previéndose una jornada especial de trabajo del </w:t>
      </w:r>
      <w:r w:rsidRPr="00C954DA">
        <w:rPr>
          <w:rFonts w:ascii="Arial" w:hAnsi="Arial" w:cs="Arial"/>
          <w:sz w:val="22"/>
          <w:szCs w:val="22"/>
        </w:rPr>
        <w:lastRenderedPageBreak/>
        <w:t>personal operativo de este Consorcio a treinta y siete horas y treinta minutos (37 h y 30 m) semanales de trabajo efectivo de promedio en cómputo anual, y al propio tiempo la Directiva Europea 88/2003 del Parlamento Europeo y del Consejo, relativa a la ordenación del tiempo de trabajo.</w:t>
      </w:r>
    </w:p>
    <w:p w14:paraId="0A6C1CAA"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Se continúan contemplando y se adecúa presupuestariamente el coste económico que supone el adelanto en el disfrute de los días adicionales de vacaciones en función de los años de servicio, acordados en la Mesa General de 15 de julio de 2022, por el que se da cumplimiento al artículo 121de la Ley 40/2015, de 1 de octubre, de Régimen Jurídico del Sector Público.</w:t>
      </w:r>
    </w:p>
    <w:p w14:paraId="70945A6E"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Con el objeto de dar respuesta a todo lo indicado, así como a las situaciones imprevistas de grandes emergencias, fenómenos meteorológicos adversos, y otros incidentes que pudieran ser calificados por su gravedad como de Nivel III, se ha estimado necesario dotar la partida presupuestaria de servicios extraordinarios por importe de 1.</w:t>
      </w:r>
      <w:r>
        <w:rPr>
          <w:rFonts w:ascii="Arial" w:hAnsi="Arial" w:cs="Arial"/>
          <w:sz w:val="22"/>
          <w:szCs w:val="22"/>
        </w:rPr>
        <w:t>509.484,60</w:t>
      </w:r>
      <w:r w:rsidRPr="00C954DA">
        <w:rPr>
          <w:rFonts w:ascii="Arial" w:hAnsi="Arial" w:cs="Arial"/>
          <w:sz w:val="22"/>
          <w:szCs w:val="22"/>
        </w:rPr>
        <w:t xml:space="preserve"> euros.</w:t>
      </w:r>
    </w:p>
    <w:p w14:paraId="065E2267" w14:textId="77777777" w:rsidR="00487362" w:rsidRPr="00C954DA" w:rsidRDefault="00487362" w:rsidP="00487362">
      <w:pPr>
        <w:tabs>
          <w:tab w:val="left" w:pos="709"/>
        </w:tabs>
        <w:spacing w:before="120" w:line="300" w:lineRule="auto"/>
        <w:ind w:firstLine="709"/>
        <w:jc w:val="both"/>
        <w:rPr>
          <w:rFonts w:ascii="Arial" w:hAnsi="Arial" w:cs="Arial"/>
          <w:sz w:val="22"/>
          <w:szCs w:val="22"/>
        </w:rPr>
      </w:pPr>
      <w:r w:rsidRPr="00C954DA">
        <w:rPr>
          <w:rFonts w:ascii="Arial" w:hAnsi="Arial" w:cs="Arial"/>
          <w:sz w:val="22"/>
          <w:szCs w:val="22"/>
        </w:rPr>
        <w:t xml:space="preserve"> Se sigue dotando una cantidad económica para hacer frente al complemento funcional acordado en la Mesa General de Negociación de12 de abril de 2019, en concepto de traslado de EPIS en los vehículos particulares para la realización de guardias de convenio y extraordinarias, y otras situaciones que impliquen un traslado efectivo a un parque distinto al de su adscripción. </w:t>
      </w:r>
    </w:p>
    <w:p w14:paraId="645A8762" w14:textId="77777777" w:rsidR="00487362" w:rsidRPr="00C954DA" w:rsidRDefault="00487362" w:rsidP="00487362">
      <w:pPr>
        <w:spacing w:before="120" w:line="300" w:lineRule="auto"/>
        <w:ind w:firstLine="708"/>
        <w:jc w:val="both"/>
        <w:rPr>
          <w:rFonts w:ascii="Arial" w:hAnsi="Arial" w:cs="Arial"/>
          <w:bCs/>
          <w:sz w:val="22"/>
          <w:szCs w:val="22"/>
        </w:rPr>
      </w:pPr>
      <w:r w:rsidRPr="00C954DA">
        <w:rPr>
          <w:rFonts w:ascii="Arial" w:hAnsi="Arial" w:cs="Arial"/>
          <w:bCs/>
          <w:sz w:val="22"/>
          <w:szCs w:val="22"/>
        </w:rPr>
        <w:t>Asimismo, se contempla que la parte práctica de cada uno de los módulos de formación obligatoria, se realicen fuera de los turnos de trabajo y será compensada con descanso equivalente con una duración anual de 24 horas.</w:t>
      </w:r>
    </w:p>
    <w:p w14:paraId="00089CC3" w14:textId="77777777" w:rsidR="00487362" w:rsidRPr="00C954DA" w:rsidRDefault="00487362" w:rsidP="00487362">
      <w:pPr>
        <w:tabs>
          <w:tab w:val="left" w:pos="709"/>
        </w:tabs>
        <w:spacing w:before="120" w:line="300" w:lineRule="auto"/>
        <w:ind w:firstLine="709"/>
        <w:jc w:val="both"/>
        <w:rPr>
          <w:rFonts w:ascii="Arial" w:hAnsi="Arial" w:cs="Arial"/>
          <w:sz w:val="22"/>
          <w:szCs w:val="22"/>
        </w:rPr>
      </w:pPr>
      <w:r w:rsidRPr="00C954DA">
        <w:rPr>
          <w:rFonts w:ascii="Arial" w:hAnsi="Arial" w:cs="Arial"/>
          <w:sz w:val="22"/>
          <w:szCs w:val="22"/>
        </w:rPr>
        <w:t>- Las cuantías globales destinadas a sufragar los gastos sociales, se incrementan con respecto a las cantidades que se venían presupuestando en el ejercicio anterior, derivado principalmente de dos motivos:</w:t>
      </w:r>
    </w:p>
    <w:p w14:paraId="6572965E" w14:textId="77777777" w:rsidR="00487362" w:rsidRPr="00C954DA" w:rsidRDefault="00487362" w:rsidP="00487362">
      <w:pPr>
        <w:autoSpaceDE/>
        <w:autoSpaceDN/>
        <w:spacing w:before="120" w:line="300" w:lineRule="auto"/>
        <w:ind w:left="709" w:firstLine="709"/>
        <w:jc w:val="both"/>
        <w:rPr>
          <w:rFonts w:ascii="Arial" w:hAnsi="Arial" w:cs="Arial"/>
          <w:bCs/>
          <w:sz w:val="22"/>
          <w:szCs w:val="22"/>
        </w:rPr>
      </w:pPr>
      <w:r w:rsidRPr="00C954DA">
        <w:rPr>
          <w:rFonts w:ascii="Arial" w:hAnsi="Arial" w:cs="Arial"/>
          <w:bCs/>
          <w:sz w:val="22"/>
          <w:szCs w:val="22"/>
        </w:rPr>
        <w:t xml:space="preserve">-Primero: El incremento de personal que ha realizado el Consorcio a partir del año 2022, incremento que ha </w:t>
      </w:r>
      <w:r w:rsidRPr="00C954DA">
        <w:rPr>
          <w:rFonts w:ascii="Arial" w:hAnsi="Arial" w:cs="Arial"/>
          <w:sz w:val="22"/>
          <w:szCs w:val="22"/>
        </w:rPr>
        <w:t>supuesto</w:t>
      </w:r>
      <w:r w:rsidRPr="00C954DA">
        <w:rPr>
          <w:rFonts w:ascii="Arial" w:hAnsi="Arial" w:cs="Arial"/>
          <w:bCs/>
          <w:sz w:val="22"/>
          <w:szCs w:val="22"/>
        </w:rPr>
        <w:t xml:space="preserve"> la incorporación de 50 nuevos efectivos, debiendo incrementarse, en consecuencia, los costes en acción social.</w:t>
      </w:r>
    </w:p>
    <w:p w14:paraId="77FF7075" w14:textId="77777777" w:rsidR="00487362" w:rsidRPr="00C954DA" w:rsidRDefault="00487362" w:rsidP="00487362">
      <w:pPr>
        <w:autoSpaceDE/>
        <w:autoSpaceDN/>
        <w:spacing w:before="120" w:line="300" w:lineRule="auto"/>
        <w:ind w:left="709" w:firstLine="709"/>
        <w:jc w:val="both"/>
        <w:rPr>
          <w:rFonts w:ascii="Arial" w:hAnsi="Arial" w:cs="Arial"/>
          <w:bCs/>
          <w:sz w:val="22"/>
          <w:szCs w:val="22"/>
        </w:rPr>
      </w:pPr>
      <w:r w:rsidRPr="00C954DA">
        <w:rPr>
          <w:rFonts w:ascii="Arial" w:hAnsi="Arial" w:cs="Arial"/>
          <w:bCs/>
          <w:sz w:val="22"/>
          <w:szCs w:val="22"/>
        </w:rPr>
        <w:t xml:space="preserve">-Segundo: El incremento de la prima unitaria del servicio de seguro de asistencia sanitaria a favor del personal del Excmo. Cabildo Insular de Tenerife y otros Entes del Sector Público Insular, </w:t>
      </w:r>
      <w:r w:rsidRPr="00C954DA">
        <w:rPr>
          <w:rFonts w:ascii="Arial" w:hAnsi="Arial" w:cs="Arial"/>
          <w:sz w:val="22"/>
          <w:szCs w:val="22"/>
        </w:rPr>
        <w:t>que</w:t>
      </w:r>
      <w:r w:rsidRPr="00C954DA">
        <w:rPr>
          <w:rFonts w:ascii="Arial" w:hAnsi="Arial" w:cs="Arial"/>
          <w:bCs/>
          <w:sz w:val="22"/>
          <w:szCs w:val="22"/>
        </w:rPr>
        <w:t xml:space="preserve"> pasó de 24,50 € a 33,50 euros por persona titular asegurada/mes, y por un plazo de ejecución de TRES (3) AÑOS a contar desde el 1 de julio de 2023 hasta el 31 de mayo de 2026.</w:t>
      </w:r>
    </w:p>
    <w:p w14:paraId="1D8A3DF4" w14:textId="77777777" w:rsidR="00487362" w:rsidRPr="00C954DA" w:rsidRDefault="00487362" w:rsidP="00487362">
      <w:pPr>
        <w:tabs>
          <w:tab w:val="left" w:pos="709"/>
        </w:tabs>
        <w:spacing w:before="120" w:line="300" w:lineRule="auto"/>
        <w:ind w:firstLine="709"/>
        <w:jc w:val="both"/>
        <w:rPr>
          <w:rFonts w:ascii="Arial" w:hAnsi="Arial" w:cs="Arial"/>
          <w:sz w:val="22"/>
          <w:szCs w:val="22"/>
        </w:rPr>
      </w:pPr>
    </w:p>
    <w:p w14:paraId="5B778072" w14:textId="77777777" w:rsidR="00487362" w:rsidRPr="00C954DA" w:rsidRDefault="00487362" w:rsidP="00487362">
      <w:pPr>
        <w:tabs>
          <w:tab w:val="left" w:pos="709"/>
        </w:tabs>
        <w:spacing w:before="120" w:line="300" w:lineRule="auto"/>
        <w:ind w:firstLine="709"/>
        <w:jc w:val="both"/>
        <w:rPr>
          <w:rFonts w:ascii="Arial" w:hAnsi="Arial" w:cs="Arial"/>
          <w:sz w:val="22"/>
          <w:szCs w:val="22"/>
        </w:rPr>
      </w:pPr>
      <w:r w:rsidRPr="00C954DA">
        <w:rPr>
          <w:rFonts w:ascii="Arial" w:hAnsi="Arial" w:cs="Arial"/>
          <w:sz w:val="22"/>
          <w:szCs w:val="22"/>
        </w:rPr>
        <w:t>Adicionalmente a lo anterior, el capítulo I recoge lo siguiente:</w:t>
      </w:r>
    </w:p>
    <w:p w14:paraId="12878835" w14:textId="77777777" w:rsidR="00487362" w:rsidRPr="00C954DA" w:rsidRDefault="00487362" w:rsidP="00487362">
      <w:pPr>
        <w:pStyle w:val="Prrafodelista"/>
        <w:numPr>
          <w:ilvl w:val="0"/>
          <w:numId w:val="2"/>
        </w:numPr>
        <w:tabs>
          <w:tab w:val="clear" w:pos="1429"/>
          <w:tab w:val="num" w:pos="360"/>
          <w:tab w:val="left" w:pos="851"/>
          <w:tab w:val="num" w:pos="1070"/>
        </w:tabs>
        <w:spacing w:before="120" w:after="120" w:line="300" w:lineRule="auto"/>
        <w:ind w:left="0" w:firstLine="709"/>
        <w:jc w:val="both"/>
        <w:rPr>
          <w:rFonts w:ascii="Arial" w:hAnsi="Arial" w:cs="Arial"/>
          <w:sz w:val="22"/>
          <w:szCs w:val="22"/>
        </w:rPr>
      </w:pPr>
      <w:r w:rsidRPr="00C954DA">
        <w:rPr>
          <w:rFonts w:ascii="Arial" w:hAnsi="Arial" w:cs="Arial"/>
          <w:sz w:val="22"/>
          <w:szCs w:val="22"/>
        </w:rPr>
        <w:t xml:space="preserve">El coste, dentro del operativo sujeto a turnos, de las sustituciones del personal por el disfrute de los días de asuntos particulares, vacaciones por antigüedad y demás licencias y permisos derivados de la aplicación del Real Decreto Legislativo 5/2015, de </w:t>
      </w:r>
      <w:r w:rsidRPr="00C954DA">
        <w:rPr>
          <w:rFonts w:ascii="Arial" w:hAnsi="Arial" w:cs="Arial"/>
          <w:sz w:val="22"/>
          <w:szCs w:val="22"/>
        </w:rPr>
        <w:lastRenderedPageBreak/>
        <w:t>30 de octubre, por el que se aprueba el texto refundido de la Ley del Estatuto Básico del Empleado Público.</w:t>
      </w:r>
    </w:p>
    <w:p w14:paraId="74811737" w14:textId="77777777" w:rsidR="00487362" w:rsidRPr="00C954DA" w:rsidRDefault="00487362" w:rsidP="00487362">
      <w:pPr>
        <w:pStyle w:val="Prrafodelista"/>
        <w:tabs>
          <w:tab w:val="left" w:pos="851"/>
        </w:tabs>
        <w:spacing w:before="120" w:after="120" w:line="300" w:lineRule="auto"/>
        <w:ind w:left="709"/>
        <w:jc w:val="both"/>
        <w:rPr>
          <w:rFonts w:ascii="Arial" w:hAnsi="Arial" w:cs="Arial"/>
          <w:sz w:val="22"/>
          <w:szCs w:val="22"/>
        </w:rPr>
      </w:pPr>
    </w:p>
    <w:p w14:paraId="1764A181" w14:textId="77777777" w:rsidR="00487362" w:rsidRPr="00C954DA" w:rsidRDefault="00487362" w:rsidP="00487362">
      <w:pPr>
        <w:pStyle w:val="Prrafodelista"/>
        <w:numPr>
          <w:ilvl w:val="0"/>
          <w:numId w:val="2"/>
        </w:numPr>
        <w:tabs>
          <w:tab w:val="clear" w:pos="1429"/>
          <w:tab w:val="num" w:pos="360"/>
          <w:tab w:val="num" w:pos="851"/>
          <w:tab w:val="num" w:pos="1070"/>
        </w:tabs>
        <w:spacing w:before="120" w:line="300" w:lineRule="auto"/>
        <w:ind w:left="0" w:firstLine="709"/>
        <w:jc w:val="both"/>
        <w:rPr>
          <w:rFonts w:ascii="Arial" w:hAnsi="Arial" w:cs="Arial"/>
          <w:sz w:val="22"/>
          <w:szCs w:val="22"/>
        </w:rPr>
      </w:pPr>
      <w:r w:rsidRPr="00C954DA">
        <w:rPr>
          <w:rFonts w:ascii="Arial" w:hAnsi="Arial" w:cs="Arial"/>
          <w:sz w:val="22"/>
          <w:szCs w:val="22"/>
        </w:rPr>
        <w:t>El incremento del valor del punto del complemento específico del personal en virtud de lo previsto en el artículo 121 de la ley 40/2015, de 1 de octubre, de Régimen Jurídico del Sector Público, dándose asimismo cumplimiento a lo previsto en la Base 3</w:t>
      </w:r>
      <w:r>
        <w:rPr>
          <w:rFonts w:ascii="Arial" w:hAnsi="Arial" w:cs="Arial"/>
          <w:sz w:val="22"/>
          <w:szCs w:val="22"/>
        </w:rPr>
        <w:t>5</w:t>
      </w:r>
      <w:r w:rsidRPr="00C954DA">
        <w:rPr>
          <w:rFonts w:ascii="Arial" w:hAnsi="Arial" w:cs="Arial"/>
          <w:sz w:val="22"/>
          <w:szCs w:val="22"/>
        </w:rPr>
        <w:t xml:space="preserve">ª de las de Ejecución del Presupuesto de este Consorcio al establecer que “la cuantía de las retribuciones del personal al servicio del Consorcio se ajustará a lo previsto en la Ley de Presupuestos Generales del Estado en lo relativo a las retribuciones de los empleados públicos. A los efectos de determinar la cuantía del complemento específico en que estén valorados los puestos de trabajo, se estará al valor del punto fijado por el Excmo. Cabildo Insular de Tenerife como Administración Pública de adscripción”.  </w:t>
      </w:r>
    </w:p>
    <w:p w14:paraId="0A94838B" w14:textId="77777777" w:rsidR="00487362" w:rsidRPr="00C954DA" w:rsidRDefault="00487362" w:rsidP="00487362">
      <w:pPr>
        <w:pStyle w:val="Prrafodelista"/>
        <w:rPr>
          <w:rFonts w:ascii="Arial" w:hAnsi="Arial" w:cs="Arial"/>
          <w:sz w:val="22"/>
          <w:szCs w:val="22"/>
        </w:rPr>
      </w:pPr>
    </w:p>
    <w:p w14:paraId="7E872F61"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Con respecto a la Plantilla y RPT aprobada en el año 2023, se ha producido un incremento en el número de plazas, y sus correspondientes puestos, de Bombero Especialista Conductor, derivado de la previsión de apertura de dos nuevos parques a lo largo de la anualidad de 2024:</w:t>
      </w:r>
    </w:p>
    <w:p w14:paraId="23318BCF"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-Parque de Bomberos de Guía de Isora: Se han creado </w:t>
      </w:r>
      <w:r w:rsidRPr="00C954DA">
        <w:rPr>
          <w:rFonts w:ascii="Arial" w:hAnsi="Arial" w:cs="Arial"/>
          <w:b/>
          <w:bCs/>
          <w:sz w:val="22"/>
          <w:szCs w:val="22"/>
        </w:rPr>
        <w:t>10 nuevas plazas</w:t>
      </w:r>
      <w:r w:rsidRPr="00C954DA">
        <w:rPr>
          <w:rFonts w:ascii="Arial" w:hAnsi="Arial" w:cs="Arial"/>
          <w:sz w:val="22"/>
          <w:szCs w:val="22"/>
        </w:rPr>
        <w:t xml:space="preserve"> de Bombero Especialista Conductor, Grupo C, subgrupo C1, con dotación económica de </w:t>
      </w:r>
      <w:r>
        <w:rPr>
          <w:rFonts w:ascii="Arial" w:hAnsi="Arial" w:cs="Arial"/>
          <w:sz w:val="22"/>
          <w:szCs w:val="22"/>
        </w:rPr>
        <w:t>8</w:t>
      </w:r>
      <w:r w:rsidRPr="00C954DA">
        <w:rPr>
          <w:rFonts w:ascii="Arial" w:hAnsi="Arial" w:cs="Arial"/>
          <w:sz w:val="22"/>
          <w:szCs w:val="22"/>
        </w:rPr>
        <w:t xml:space="preserve"> meses.</w:t>
      </w:r>
    </w:p>
    <w:p w14:paraId="3ECD4982"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-Parque de Bomberos de Arona: Se han creado </w:t>
      </w:r>
      <w:r w:rsidRPr="00C954DA">
        <w:rPr>
          <w:rFonts w:ascii="Arial" w:hAnsi="Arial" w:cs="Arial"/>
          <w:b/>
          <w:bCs/>
          <w:sz w:val="22"/>
          <w:szCs w:val="22"/>
        </w:rPr>
        <w:t>10 nuevas plazas</w:t>
      </w:r>
      <w:r w:rsidRPr="00C954DA">
        <w:rPr>
          <w:rFonts w:ascii="Arial" w:hAnsi="Arial" w:cs="Arial"/>
          <w:sz w:val="22"/>
          <w:szCs w:val="22"/>
        </w:rPr>
        <w:t xml:space="preserve"> de Bombero Especialista Conductor, Grupo C, subgrupo C1, con dotación económica de 1</w:t>
      </w:r>
      <w:r>
        <w:rPr>
          <w:rFonts w:ascii="Arial" w:hAnsi="Arial" w:cs="Arial"/>
          <w:sz w:val="22"/>
          <w:szCs w:val="22"/>
        </w:rPr>
        <w:t>5 días</w:t>
      </w:r>
      <w:r w:rsidRPr="00C954DA">
        <w:rPr>
          <w:rFonts w:ascii="Arial" w:hAnsi="Arial" w:cs="Arial"/>
          <w:sz w:val="22"/>
          <w:szCs w:val="22"/>
        </w:rPr>
        <w:t>.</w:t>
      </w:r>
    </w:p>
    <w:p w14:paraId="6489DABD" w14:textId="77777777" w:rsidR="00487362" w:rsidRPr="00C954DA" w:rsidRDefault="00487362" w:rsidP="00487362">
      <w:pPr>
        <w:shd w:val="clear" w:color="auto" w:fill="FFFFFF"/>
        <w:spacing w:before="200" w:line="288" w:lineRule="auto"/>
        <w:ind w:firstLine="709"/>
        <w:jc w:val="both"/>
        <w:rPr>
          <w:rFonts w:ascii="Arial" w:hAnsi="Arial" w:cs="Arial"/>
          <w:sz w:val="22"/>
          <w:szCs w:val="22"/>
        </w:rPr>
      </w:pPr>
      <w:r w:rsidRPr="00C954DA">
        <w:rPr>
          <w:rFonts w:ascii="Arial" w:hAnsi="Arial" w:cs="Arial"/>
          <w:sz w:val="22"/>
          <w:szCs w:val="22"/>
        </w:rPr>
        <w:t xml:space="preserve">Al propio tiempo, y derivado de la necesidad de cubrir sin dificultad los turnos del personal de este Consorcio que desempeñas sus servicios en la Sala del 112, los 365 días del año durante 24 horas, procede la creación de </w:t>
      </w:r>
      <w:r w:rsidRPr="00C954DA">
        <w:rPr>
          <w:rFonts w:ascii="Arial" w:hAnsi="Arial" w:cs="Arial"/>
          <w:b/>
          <w:bCs/>
          <w:sz w:val="22"/>
          <w:szCs w:val="22"/>
        </w:rPr>
        <w:t>una plaza</w:t>
      </w:r>
      <w:r w:rsidRPr="00C954DA">
        <w:rPr>
          <w:rFonts w:ascii="Arial" w:hAnsi="Arial" w:cs="Arial"/>
          <w:sz w:val="22"/>
          <w:szCs w:val="22"/>
        </w:rPr>
        <w:t xml:space="preserve"> y su correspondiente puesto de “</w:t>
      </w:r>
      <w:r w:rsidRPr="00C954DA">
        <w:rPr>
          <w:rFonts w:ascii="Arial" w:hAnsi="Arial" w:cs="Arial"/>
          <w:b/>
          <w:bCs/>
          <w:sz w:val="22"/>
          <w:szCs w:val="22"/>
        </w:rPr>
        <w:t>Auxiliar Técnico</w:t>
      </w:r>
      <w:r w:rsidRPr="00C954DA">
        <w:rPr>
          <w:rFonts w:ascii="Arial" w:hAnsi="Arial" w:cs="Arial"/>
          <w:sz w:val="22"/>
          <w:szCs w:val="22"/>
        </w:rPr>
        <w:t>”, Grupo C, Subgrupo C2.</w:t>
      </w:r>
    </w:p>
    <w:p w14:paraId="17996EB0"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 xml:space="preserve">Asimismo, y para paliar en parte el déficit de personal de </w:t>
      </w:r>
      <w:r>
        <w:rPr>
          <w:rFonts w:ascii="Arial" w:hAnsi="Arial" w:cs="Arial"/>
          <w:sz w:val="22"/>
          <w:szCs w:val="22"/>
        </w:rPr>
        <w:t>administración</w:t>
      </w:r>
      <w:r w:rsidRPr="00C954DA">
        <w:rPr>
          <w:rFonts w:ascii="Arial" w:hAnsi="Arial" w:cs="Arial"/>
          <w:sz w:val="22"/>
          <w:szCs w:val="22"/>
        </w:rPr>
        <w:t xml:space="preserve"> del Consorcio, se propone reforzar con </w:t>
      </w:r>
      <w:r w:rsidRPr="00C954DA">
        <w:rPr>
          <w:rFonts w:ascii="Arial" w:hAnsi="Arial" w:cs="Arial"/>
          <w:b/>
          <w:bCs/>
          <w:sz w:val="22"/>
          <w:szCs w:val="22"/>
        </w:rPr>
        <w:t>2 plazas de Técnicos/as de Administración General</w:t>
      </w:r>
      <w:r w:rsidRPr="00C954DA">
        <w:rPr>
          <w:rFonts w:ascii="Arial" w:hAnsi="Arial" w:cs="Arial"/>
          <w:sz w:val="22"/>
          <w:szCs w:val="22"/>
        </w:rPr>
        <w:t>, uno/a de rama jurídico y otro/a de rama económica, con sus correspondientes puestos, con el objeto de reforzar las unidades de personal y económica-financiero del Consorcio.</w:t>
      </w:r>
    </w:p>
    <w:p w14:paraId="74380A3C" w14:textId="77777777" w:rsidR="00487362" w:rsidRPr="00C954DA" w:rsidRDefault="00487362" w:rsidP="00487362">
      <w:pPr>
        <w:spacing w:before="120" w:line="300" w:lineRule="auto"/>
        <w:ind w:firstLine="709"/>
        <w:jc w:val="both"/>
        <w:rPr>
          <w:rFonts w:ascii="Arial" w:hAnsi="Arial" w:cs="Arial"/>
          <w:sz w:val="22"/>
          <w:szCs w:val="22"/>
        </w:rPr>
      </w:pPr>
      <w:r w:rsidRPr="00C954DA">
        <w:rPr>
          <w:rFonts w:ascii="Arial" w:hAnsi="Arial" w:cs="Arial"/>
          <w:sz w:val="22"/>
          <w:szCs w:val="22"/>
        </w:rPr>
        <w:t>Por último, y para apoyar al servicio de informática del Consorcio, ante el aumento del volumen de trabajo derivado, entre otras cuestiones, derivado de la implantación de la administración electrónica y lo que ello conlleva, la sustitución de aplicaciones específicas del Consorcio, es necesario contar con una nueva plaza con su correspondiente puesto de “</w:t>
      </w:r>
      <w:r w:rsidRPr="00C954DA">
        <w:rPr>
          <w:rFonts w:ascii="Arial" w:hAnsi="Arial" w:cs="Arial"/>
          <w:b/>
          <w:bCs/>
          <w:sz w:val="22"/>
          <w:szCs w:val="22"/>
        </w:rPr>
        <w:t>Técnico Auxiliar</w:t>
      </w:r>
      <w:r>
        <w:rPr>
          <w:rFonts w:ascii="Arial" w:hAnsi="Arial" w:cs="Arial"/>
          <w:b/>
          <w:bCs/>
          <w:sz w:val="22"/>
          <w:szCs w:val="22"/>
        </w:rPr>
        <w:t xml:space="preserve"> informático</w:t>
      </w:r>
      <w:r w:rsidRPr="00C954DA">
        <w:rPr>
          <w:rFonts w:ascii="Arial" w:hAnsi="Arial" w:cs="Arial"/>
          <w:b/>
          <w:bCs/>
          <w:sz w:val="22"/>
          <w:szCs w:val="22"/>
        </w:rPr>
        <w:t>”</w:t>
      </w:r>
      <w:r w:rsidRPr="00C954DA">
        <w:rPr>
          <w:rFonts w:ascii="Arial" w:hAnsi="Arial" w:cs="Arial"/>
          <w:sz w:val="22"/>
          <w:szCs w:val="22"/>
        </w:rPr>
        <w:t>, dotado a 8 meses. Indicar que dicha plaza se crea de la amortización de una plaza de Auxiliar Administrativo, que en el Presupuesto de 2023 estaba dotado a 12 meses, pero que actualmente se encuentra vacante por jubilación de su titular.</w:t>
      </w:r>
    </w:p>
    <w:p w14:paraId="24ED97C2" w14:textId="77777777" w:rsidR="00487362" w:rsidRPr="00C954DA" w:rsidRDefault="00487362" w:rsidP="00487362">
      <w:pPr>
        <w:pStyle w:val="Prrafodelista"/>
        <w:tabs>
          <w:tab w:val="num" w:pos="1070"/>
        </w:tabs>
        <w:spacing w:before="120" w:line="300" w:lineRule="auto"/>
        <w:ind w:left="709"/>
        <w:jc w:val="both"/>
        <w:rPr>
          <w:rFonts w:ascii="Arial" w:hAnsi="Arial" w:cs="Arial"/>
          <w:sz w:val="22"/>
          <w:szCs w:val="22"/>
        </w:rPr>
      </w:pPr>
    </w:p>
    <w:p w14:paraId="49E3BFF9" w14:textId="77777777" w:rsidR="00487362" w:rsidRPr="00C954DA" w:rsidRDefault="00487362" w:rsidP="00487362">
      <w:pPr>
        <w:pStyle w:val="Prrafodelista"/>
        <w:tabs>
          <w:tab w:val="num" w:pos="1070"/>
        </w:tabs>
        <w:spacing w:before="120" w:line="300" w:lineRule="auto"/>
        <w:ind w:left="709"/>
        <w:jc w:val="both"/>
        <w:rPr>
          <w:rFonts w:ascii="Arial" w:hAnsi="Arial" w:cs="Arial"/>
          <w:sz w:val="22"/>
          <w:szCs w:val="22"/>
        </w:rPr>
      </w:pPr>
      <w:r w:rsidRPr="00C954DA">
        <w:rPr>
          <w:rFonts w:ascii="Arial" w:hAnsi="Arial" w:cs="Arial"/>
          <w:sz w:val="22"/>
          <w:szCs w:val="22"/>
        </w:rPr>
        <w:t xml:space="preserve">Siguen contemplándose las siguientes plazas: </w:t>
      </w:r>
    </w:p>
    <w:p w14:paraId="41488CC6" w14:textId="77777777" w:rsidR="00487362" w:rsidRPr="00C954DA" w:rsidRDefault="00487362" w:rsidP="00487362">
      <w:pPr>
        <w:pStyle w:val="Prrafodelista"/>
        <w:tabs>
          <w:tab w:val="num" w:pos="1070"/>
        </w:tabs>
        <w:spacing w:before="120" w:line="300" w:lineRule="auto"/>
        <w:ind w:left="709"/>
        <w:jc w:val="both"/>
        <w:rPr>
          <w:rFonts w:ascii="Arial" w:hAnsi="Arial" w:cs="Arial"/>
          <w:sz w:val="22"/>
          <w:szCs w:val="22"/>
        </w:rPr>
      </w:pPr>
    </w:p>
    <w:p w14:paraId="174D4F30" w14:textId="77777777" w:rsidR="00487362" w:rsidRPr="00C954DA" w:rsidRDefault="00487362" w:rsidP="00487362">
      <w:pPr>
        <w:pStyle w:val="Prrafodelista"/>
        <w:numPr>
          <w:ilvl w:val="0"/>
          <w:numId w:val="12"/>
        </w:numPr>
        <w:tabs>
          <w:tab w:val="num" w:pos="1070"/>
        </w:tabs>
        <w:spacing w:before="120" w:line="300" w:lineRule="auto"/>
        <w:ind w:left="0" w:firstLine="709"/>
        <w:jc w:val="both"/>
        <w:rPr>
          <w:rFonts w:ascii="Arial" w:hAnsi="Arial" w:cs="Arial"/>
          <w:sz w:val="22"/>
          <w:szCs w:val="22"/>
        </w:rPr>
      </w:pPr>
      <w:r w:rsidRPr="00C954DA">
        <w:rPr>
          <w:rFonts w:ascii="Arial" w:hAnsi="Arial" w:cs="Arial"/>
          <w:sz w:val="22"/>
          <w:szCs w:val="22"/>
        </w:rPr>
        <w:t>1 puesto de Gerente, dotado a 9 meses, actualmente vacante.</w:t>
      </w:r>
    </w:p>
    <w:p w14:paraId="0BE3B451" w14:textId="77777777" w:rsidR="00487362" w:rsidRPr="00C954DA" w:rsidRDefault="00487362" w:rsidP="00487362">
      <w:pPr>
        <w:pStyle w:val="Prrafodelista"/>
        <w:spacing w:before="120" w:line="300" w:lineRule="auto"/>
        <w:ind w:left="709"/>
        <w:jc w:val="both"/>
        <w:rPr>
          <w:rFonts w:ascii="Arial" w:hAnsi="Arial" w:cs="Arial"/>
          <w:sz w:val="22"/>
          <w:szCs w:val="22"/>
        </w:rPr>
      </w:pPr>
    </w:p>
    <w:p w14:paraId="39892CAA" w14:textId="77777777" w:rsidR="00487362" w:rsidRPr="00C954DA" w:rsidRDefault="00487362" w:rsidP="00487362">
      <w:pPr>
        <w:pStyle w:val="Prrafodelista"/>
        <w:numPr>
          <w:ilvl w:val="0"/>
          <w:numId w:val="12"/>
        </w:numPr>
        <w:tabs>
          <w:tab w:val="num" w:pos="1070"/>
        </w:tabs>
        <w:spacing w:before="120" w:line="300" w:lineRule="auto"/>
        <w:ind w:left="0" w:firstLine="709"/>
        <w:jc w:val="both"/>
        <w:rPr>
          <w:rFonts w:ascii="Arial" w:hAnsi="Arial" w:cs="Arial"/>
          <w:sz w:val="22"/>
          <w:szCs w:val="22"/>
        </w:rPr>
      </w:pPr>
      <w:r w:rsidRPr="00C954DA">
        <w:rPr>
          <w:rFonts w:ascii="Arial" w:hAnsi="Arial" w:cs="Arial"/>
          <w:sz w:val="22"/>
          <w:szCs w:val="22"/>
        </w:rPr>
        <w:t xml:space="preserve">1 plaza de Técnico de Administración Especial vacante (adjunto al Oficial </w:t>
      </w:r>
      <w:proofErr w:type="gramStart"/>
      <w:r w:rsidRPr="00C954DA">
        <w:rPr>
          <w:rFonts w:ascii="Arial" w:hAnsi="Arial" w:cs="Arial"/>
          <w:sz w:val="22"/>
          <w:szCs w:val="22"/>
        </w:rPr>
        <w:t>Jefe</w:t>
      </w:r>
      <w:proofErr w:type="gramEnd"/>
      <w:r w:rsidRPr="00C954DA">
        <w:rPr>
          <w:rFonts w:ascii="Arial" w:hAnsi="Arial" w:cs="Arial"/>
          <w:sz w:val="22"/>
          <w:szCs w:val="22"/>
        </w:rPr>
        <w:t>), dotada a 4 meses</w:t>
      </w:r>
    </w:p>
    <w:p w14:paraId="5E835A29" w14:textId="77777777" w:rsidR="00487362" w:rsidRPr="00C954DA" w:rsidRDefault="00487362" w:rsidP="00487362">
      <w:pPr>
        <w:pStyle w:val="Prrafodelista"/>
        <w:tabs>
          <w:tab w:val="num" w:pos="1070"/>
        </w:tabs>
        <w:spacing w:before="120" w:line="300" w:lineRule="auto"/>
        <w:ind w:left="709"/>
        <w:jc w:val="both"/>
        <w:rPr>
          <w:rFonts w:ascii="Arial" w:hAnsi="Arial" w:cs="Arial"/>
          <w:sz w:val="22"/>
          <w:szCs w:val="22"/>
        </w:rPr>
      </w:pPr>
    </w:p>
    <w:p w14:paraId="7026C004" w14:textId="77777777" w:rsidR="00487362" w:rsidRPr="00C954DA" w:rsidRDefault="00487362" w:rsidP="00487362">
      <w:pPr>
        <w:pStyle w:val="Prrafodelista"/>
        <w:numPr>
          <w:ilvl w:val="0"/>
          <w:numId w:val="12"/>
        </w:numPr>
        <w:tabs>
          <w:tab w:val="num" w:pos="1070"/>
        </w:tabs>
        <w:spacing w:before="120" w:line="300" w:lineRule="auto"/>
        <w:ind w:left="0" w:firstLine="709"/>
        <w:jc w:val="both"/>
        <w:rPr>
          <w:rFonts w:ascii="Arial" w:hAnsi="Arial" w:cs="Arial"/>
          <w:sz w:val="22"/>
          <w:szCs w:val="22"/>
        </w:rPr>
      </w:pPr>
      <w:r w:rsidRPr="00C954DA">
        <w:rPr>
          <w:rFonts w:ascii="Arial" w:hAnsi="Arial" w:cs="Arial"/>
          <w:sz w:val="22"/>
          <w:szCs w:val="22"/>
        </w:rPr>
        <w:t>3 p</w:t>
      </w:r>
      <w:r>
        <w:rPr>
          <w:rFonts w:ascii="Arial" w:hAnsi="Arial" w:cs="Arial"/>
          <w:sz w:val="22"/>
          <w:szCs w:val="22"/>
        </w:rPr>
        <w:t>laza</w:t>
      </w:r>
      <w:r w:rsidRPr="00C954DA">
        <w:rPr>
          <w:rFonts w:ascii="Arial" w:hAnsi="Arial" w:cs="Arial"/>
          <w:sz w:val="22"/>
          <w:szCs w:val="22"/>
        </w:rPr>
        <w:t xml:space="preserve">s de </w:t>
      </w:r>
      <w:proofErr w:type="gramStart"/>
      <w:r w:rsidRPr="00C954DA">
        <w:rPr>
          <w:rFonts w:ascii="Arial" w:hAnsi="Arial" w:cs="Arial"/>
          <w:sz w:val="22"/>
          <w:szCs w:val="22"/>
        </w:rPr>
        <w:t>Responsables</w:t>
      </w:r>
      <w:proofErr w:type="gramEnd"/>
      <w:r w:rsidRPr="00C954DA">
        <w:rPr>
          <w:rFonts w:ascii="Arial" w:hAnsi="Arial" w:cs="Arial"/>
          <w:sz w:val="22"/>
          <w:szCs w:val="22"/>
        </w:rPr>
        <w:t xml:space="preserve"> de Zona (A2), de las cuales, 2 tienen dotación total desde el 1 de enero de 2024, y una continua sin dotación presupuestaria.</w:t>
      </w:r>
    </w:p>
    <w:p w14:paraId="19A15397" w14:textId="77777777" w:rsidR="00487362" w:rsidRPr="00C954DA" w:rsidRDefault="00487362" w:rsidP="00487362">
      <w:pPr>
        <w:pStyle w:val="Prrafodelista"/>
        <w:tabs>
          <w:tab w:val="num" w:pos="1070"/>
        </w:tabs>
        <w:spacing w:before="120" w:line="300" w:lineRule="auto"/>
        <w:ind w:left="709"/>
        <w:jc w:val="both"/>
        <w:rPr>
          <w:rFonts w:ascii="Arial" w:hAnsi="Arial" w:cs="Arial"/>
          <w:sz w:val="22"/>
          <w:szCs w:val="22"/>
        </w:rPr>
      </w:pPr>
    </w:p>
    <w:p w14:paraId="5D107E54" w14:textId="77777777" w:rsidR="00487362" w:rsidRPr="00C954DA" w:rsidRDefault="00487362" w:rsidP="00487362">
      <w:pPr>
        <w:pStyle w:val="Prrafodelista"/>
        <w:numPr>
          <w:ilvl w:val="0"/>
          <w:numId w:val="12"/>
        </w:numPr>
        <w:tabs>
          <w:tab w:val="num" w:pos="1070"/>
        </w:tabs>
        <w:spacing w:before="120" w:line="300" w:lineRule="auto"/>
        <w:ind w:left="0" w:firstLine="709"/>
        <w:jc w:val="both"/>
        <w:rPr>
          <w:rFonts w:ascii="Arial" w:hAnsi="Arial" w:cs="Arial"/>
          <w:sz w:val="22"/>
          <w:szCs w:val="22"/>
        </w:rPr>
      </w:pPr>
      <w:r w:rsidRPr="00C954DA">
        <w:rPr>
          <w:rFonts w:ascii="Arial" w:hAnsi="Arial" w:cs="Arial"/>
          <w:sz w:val="22"/>
          <w:szCs w:val="22"/>
        </w:rPr>
        <w:t xml:space="preserve">5 </w:t>
      </w:r>
      <w:r>
        <w:rPr>
          <w:rFonts w:ascii="Arial" w:hAnsi="Arial" w:cs="Arial"/>
          <w:sz w:val="22"/>
          <w:szCs w:val="22"/>
        </w:rPr>
        <w:t>plazas</w:t>
      </w:r>
      <w:r w:rsidRPr="00C954DA">
        <w:rPr>
          <w:rFonts w:ascii="Arial" w:hAnsi="Arial" w:cs="Arial"/>
          <w:sz w:val="22"/>
          <w:szCs w:val="22"/>
        </w:rPr>
        <w:t xml:space="preserve"> de </w:t>
      </w:r>
      <w:proofErr w:type="gramStart"/>
      <w:r w:rsidRPr="00C954DA">
        <w:rPr>
          <w:rFonts w:ascii="Arial" w:hAnsi="Arial" w:cs="Arial"/>
          <w:sz w:val="22"/>
          <w:szCs w:val="22"/>
        </w:rPr>
        <w:t>Responsables</w:t>
      </w:r>
      <w:proofErr w:type="gramEnd"/>
      <w:r w:rsidRPr="00C954DA">
        <w:rPr>
          <w:rFonts w:ascii="Arial" w:hAnsi="Arial" w:cs="Arial"/>
          <w:sz w:val="22"/>
          <w:szCs w:val="22"/>
        </w:rPr>
        <w:t xml:space="preserve"> de Parque (A2), de los cuales 2 con dotación presupuestaria de 4 meses</w:t>
      </w:r>
    </w:p>
    <w:p w14:paraId="5CCB3860" w14:textId="77777777" w:rsidR="00487362" w:rsidRPr="00C954DA" w:rsidRDefault="00487362" w:rsidP="00487362">
      <w:pPr>
        <w:pStyle w:val="Prrafodelista"/>
        <w:tabs>
          <w:tab w:val="num" w:pos="1070"/>
        </w:tabs>
        <w:spacing w:before="120" w:line="300" w:lineRule="auto"/>
        <w:ind w:left="709"/>
        <w:jc w:val="both"/>
        <w:rPr>
          <w:rFonts w:ascii="Arial" w:hAnsi="Arial" w:cs="Arial"/>
          <w:sz w:val="22"/>
          <w:szCs w:val="22"/>
        </w:rPr>
      </w:pPr>
    </w:p>
    <w:p w14:paraId="7B3EAF3C" w14:textId="77777777" w:rsidR="00487362" w:rsidRPr="00C954DA" w:rsidRDefault="00487362" w:rsidP="00487362">
      <w:pPr>
        <w:pStyle w:val="Prrafodelista"/>
        <w:numPr>
          <w:ilvl w:val="0"/>
          <w:numId w:val="12"/>
        </w:numPr>
        <w:tabs>
          <w:tab w:val="num" w:pos="1070"/>
        </w:tabs>
        <w:spacing w:before="120" w:line="300" w:lineRule="auto"/>
        <w:ind w:left="0" w:firstLine="709"/>
        <w:jc w:val="both"/>
        <w:rPr>
          <w:rFonts w:ascii="Arial" w:hAnsi="Arial" w:cs="Arial"/>
          <w:sz w:val="22"/>
          <w:szCs w:val="22"/>
        </w:rPr>
      </w:pPr>
      <w:r w:rsidRPr="00C954DA">
        <w:rPr>
          <w:rFonts w:ascii="Arial" w:hAnsi="Arial" w:cs="Arial"/>
          <w:sz w:val="22"/>
          <w:szCs w:val="22"/>
        </w:rPr>
        <w:t>12 plazas de Auxiliares Técnicos dentro de la Sala Operativa del 112, derivado de la necesidad de cubrir sin dificultad los turnos del personal que presta sus servicios en la Central de Coordinación de Emergencias los 365 días del año durante 24 horas.</w:t>
      </w:r>
    </w:p>
    <w:p w14:paraId="2ED5945F" w14:textId="77777777" w:rsidR="00487362" w:rsidRPr="00C954DA" w:rsidRDefault="00487362" w:rsidP="00487362">
      <w:pPr>
        <w:pStyle w:val="Prrafodelista"/>
        <w:tabs>
          <w:tab w:val="num" w:pos="1070"/>
        </w:tabs>
        <w:spacing w:before="120" w:line="300" w:lineRule="auto"/>
        <w:ind w:left="709"/>
        <w:jc w:val="both"/>
        <w:rPr>
          <w:rFonts w:ascii="Arial" w:hAnsi="Arial" w:cs="Arial"/>
          <w:sz w:val="22"/>
          <w:szCs w:val="22"/>
        </w:rPr>
      </w:pPr>
    </w:p>
    <w:p w14:paraId="52A9D8DA" w14:textId="77777777" w:rsidR="00487362" w:rsidRPr="00C954DA" w:rsidRDefault="00487362" w:rsidP="00487362">
      <w:pPr>
        <w:pStyle w:val="Prrafodelista"/>
        <w:numPr>
          <w:ilvl w:val="0"/>
          <w:numId w:val="12"/>
        </w:numPr>
        <w:tabs>
          <w:tab w:val="num" w:pos="1070"/>
        </w:tabs>
        <w:spacing w:before="120" w:line="300" w:lineRule="auto"/>
        <w:ind w:left="0" w:firstLine="709"/>
        <w:jc w:val="both"/>
        <w:rPr>
          <w:rFonts w:ascii="Arial" w:hAnsi="Arial" w:cs="Arial"/>
          <w:sz w:val="22"/>
          <w:szCs w:val="22"/>
        </w:rPr>
      </w:pPr>
      <w:r w:rsidRPr="00C954DA">
        <w:rPr>
          <w:rFonts w:ascii="Arial" w:hAnsi="Arial" w:cs="Arial"/>
          <w:sz w:val="22"/>
          <w:szCs w:val="22"/>
        </w:rPr>
        <w:t xml:space="preserve">1 plaza de </w:t>
      </w:r>
      <w:proofErr w:type="gramStart"/>
      <w:r w:rsidRPr="00C954DA">
        <w:rPr>
          <w:rFonts w:ascii="Arial" w:hAnsi="Arial" w:cs="Arial"/>
          <w:sz w:val="22"/>
          <w:szCs w:val="22"/>
        </w:rPr>
        <w:t>Responsable</w:t>
      </w:r>
      <w:proofErr w:type="gramEnd"/>
      <w:r w:rsidRPr="00C954DA">
        <w:rPr>
          <w:rFonts w:ascii="Arial" w:hAnsi="Arial" w:cs="Arial"/>
          <w:sz w:val="22"/>
          <w:szCs w:val="22"/>
        </w:rPr>
        <w:t xml:space="preserve"> de Logística, dotado a 1 mes</w:t>
      </w:r>
    </w:p>
    <w:p w14:paraId="58F102F4" w14:textId="77777777" w:rsidR="00487362" w:rsidRPr="0077187F" w:rsidRDefault="00487362" w:rsidP="00487362">
      <w:pPr>
        <w:pStyle w:val="Prrafodelista"/>
        <w:spacing w:before="120" w:line="300" w:lineRule="auto"/>
        <w:ind w:left="0" w:firstLine="709"/>
        <w:rPr>
          <w:rFonts w:ascii="Arial" w:hAnsi="Arial" w:cs="Arial"/>
          <w:color w:val="FF0000"/>
          <w:sz w:val="22"/>
          <w:szCs w:val="22"/>
        </w:rPr>
      </w:pPr>
    </w:p>
    <w:p w14:paraId="310B29BA" w14:textId="77777777" w:rsidR="00487362" w:rsidRPr="00932340" w:rsidRDefault="00487362" w:rsidP="00487362">
      <w:pPr>
        <w:spacing w:before="120" w:line="300" w:lineRule="auto"/>
        <w:ind w:firstLine="709"/>
        <w:jc w:val="both"/>
        <w:rPr>
          <w:rFonts w:ascii="Arial" w:hAnsi="Arial" w:cs="Arial"/>
          <w:bCs/>
          <w:sz w:val="22"/>
          <w:szCs w:val="22"/>
        </w:rPr>
      </w:pPr>
      <w:r w:rsidRPr="00932340">
        <w:rPr>
          <w:rFonts w:ascii="Arial" w:hAnsi="Arial" w:cs="Arial"/>
          <w:bCs/>
          <w:sz w:val="22"/>
          <w:szCs w:val="22"/>
        </w:rPr>
        <w:t xml:space="preserve">El </w:t>
      </w:r>
      <w:r w:rsidRPr="00932340">
        <w:rPr>
          <w:rFonts w:ascii="Arial" w:hAnsi="Arial" w:cs="Arial"/>
          <w:b/>
          <w:bCs/>
          <w:sz w:val="22"/>
          <w:szCs w:val="22"/>
          <w:u w:val="single"/>
        </w:rPr>
        <w:t>Capítulo II</w:t>
      </w:r>
      <w:r w:rsidRPr="00932340">
        <w:rPr>
          <w:rFonts w:ascii="Arial" w:hAnsi="Arial" w:cs="Arial"/>
          <w:bCs/>
          <w:sz w:val="22"/>
          <w:szCs w:val="22"/>
        </w:rPr>
        <w:t xml:space="preserve"> recoge los gastos de funcionamiento necesarios para el desarrollo y mantenimiento de este servicio de emergencia en condiciones óptimas para que </w:t>
      </w:r>
      <w:r>
        <w:rPr>
          <w:rFonts w:ascii="Arial" w:hAnsi="Arial" w:cs="Arial"/>
          <w:bCs/>
          <w:sz w:val="22"/>
          <w:szCs w:val="22"/>
        </w:rPr>
        <w:t>revierta</w:t>
      </w:r>
      <w:r w:rsidRPr="00932340">
        <w:rPr>
          <w:rFonts w:ascii="Arial" w:hAnsi="Arial" w:cs="Arial"/>
          <w:bCs/>
          <w:sz w:val="22"/>
          <w:szCs w:val="22"/>
        </w:rPr>
        <w:t xml:space="preserve"> en beneficio de la población. </w:t>
      </w:r>
    </w:p>
    <w:p w14:paraId="144C8B4E" w14:textId="77777777" w:rsidR="00487362" w:rsidRDefault="00487362" w:rsidP="00487362">
      <w:pPr>
        <w:spacing w:beforeLines="120" w:before="288" w:line="300" w:lineRule="auto"/>
        <w:ind w:firstLine="709"/>
        <w:jc w:val="both"/>
        <w:rPr>
          <w:rFonts w:ascii="Arial" w:hAnsi="Arial" w:cs="Arial"/>
          <w:bCs/>
          <w:sz w:val="22"/>
          <w:szCs w:val="22"/>
        </w:rPr>
      </w:pPr>
      <w:r w:rsidRPr="00367A79">
        <w:rPr>
          <w:rFonts w:ascii="Arial" w:hAnsi="Arial" w:cs="Arial"/>
          <w:bCs/>
          <w:sz w:val="22"/>
          <w:szCs w:val="22"/>
        </w:rPr>
        <w:t>Entre los gastos de este capítulo se encuentra fundamentalmente el mantenimiento de los edificios de los parques de bomberos, de los vehículos, del material técnico operativo e informático; los suministros de vestuario, agua, energía eléctrica, combustible, …</w:t>
      </w:r>
      <w:r>
        <w:rPr>
          <w:rFonts w:ascii="Arial" w:hAnsi="Arial" w:cs="Arial"/>
          <w:bCs/>
          <w:sz w:val="22"/>
          <w:szCs w:val="22"/>
        </w:rPr>
        <w:t xml:space="preserve">, </w:t>
      </w:r>
      <w:r w:rsidRPr="00367A79">
        <w:rPr>
          <w:rFonts w:ascii="Arial" w:hAnsi="Arial" w:cs="Arial"/>
          <w:bCs/>
          <w:sz w:val="22"/>
          <w:szCs w:val="22"/>
        </w:rPr>
        <w:t xml:space="preserve">además de gastos como limpieza, comunicación y prensa y seguros de responsabilidad civil y patrimonial. </w:t>
      </w:r>
    </w:p>
    <w:p w14:paraId="5788F4CB" w14:textId="77777777" w:rsidR="00487362" w:rsidRPr="005C4146" w:rsidRDefault="00487362" w:rsidP="00487362">
      <w:pPr>
        <w:spacing w:before="120" w:line="300" w:lineRule="auto"/>
        <w:ind w:firstLine="709"/>
        <w:jc w:val="both"/>
        <w:rPr>
          <w:rFonts w:ascii="Arial" w:hAnsi="Arial" w:cs="Arial"/>
          <w:bCs/>
          <w:sz w:val="22"/>
          <w:szCs w:val="22"/>
        </w:rPr>
      </w:pPr>
      <w:r>
        <w:rPr>
          <w:rFonts w:ascii="Arial" w:hAnsi="Arial" w:cs="Arial"/>
          <w:bCs/>
          <w:sz w:val="22"/>
          <w:szCs w:val="22"/>
        </w:rPr>
        <w:t>A pesar de la apertura del Parque de Bomberos de Güímar, que supone un mayor gasto de suministros y servicios para el Consorcio, e</w:t>
      </w:r>
      <w:r w:rsidRPr="00E07D81">
        <w:rPr>
          <w:rFonts w:ascii="Arial" w:hAnsi="Arial" w:cs="Arial"/>
          <w:bCs/>
          <w:sz w:val="22"/>
          <w:szCs w:val="22"/>
        </w:rPr>
        <w:t xml:space="preserve">l </w:t>
      </w:r>
      <w:r>
        <w:rPr>
          <w:rFonts w:ascii="Arial" w:hAnsi="Arial" w:cs="Arial"/>
          <w:bCs/>
          <w:sz w:val="22"/>
          <w:szCs w:val="22"/>
        </w:rPr>
        <w:t>c</w:t>
      </w:r>
      <w:r w:rsidRPr="00E07D81">
        <w:rPr>
          <w:rFonts w:ascii="Arial" w:hAnsi="Arial" w:cs="Arial"/>
          <w:bCs/>
          <w:sz w:val="22"/>
          <w:szCs w:val="22"/>
        </w:rPr>
        <w:t xml:space="preserve">apítulo II </w:t>
      </w:r>
      <w:r>
        <w:rPr>
          <w:rFonts w:ascii="Arial" w:hAnsi="Arial" w:cs="Arial"/>
          <w:bCs/>
          <w:sz w:val="22"/>
          <w:szCs w:val="22"/>
        </w:rPr>
        <w:t xml:space="preserve">disminuye </w:t>
      </w:r>
      <w:r w:rsidRPr="00E07D81">
        <w:rPr>
          <w:rFonts w:ascii="Arial" w:hAnsi="Arial" w:cs="Arial"/>
          <w:bCs/>
          <w:sz w:val="22"/>
          <w:szCs w:val="22"/>
        </w:rPr>
        <w:t xml:space="preserve">con respecto al ejercicio </w:t>
      </w:r>
      <w:r>
        <w:rPr>
          <w:rFonts w:ascii="Arial" w:hAnsi="Arial" w:cs="Arial"/>
          <w:bCs/>
          <w:sz w:val="22"/>
          <w:szCs w:val="22"/>
        </w:rPr>
        <w:t xml:space="preserve">anterior </w:t>
      </w:r>
      <w:r w:rsidRPr="00E07D81">
        <w:rPr>
          <w:rFonts w:ascii="Arial" w:hAnsi="Arial" w:cs="Arial"/>
          <w:bCs/>
          <w:sz w:val="22"/>
          <w:szCs w:val="22"/>
        </w:rPr>
        <w:t xml:space="preserve">en </w:t>
      </w:r>
      <w:r>
        <w:rPr>
          <w:rFonts w:ascii="Arial" w:hAnsi="Arial" w:cs="Arial"/>
          <w:bCs/>
          <w:sz w:val="22"/>
          <w:szCs w:val="22"/>
        </w:rPr>
        <w:t>124.902,70</w:t>
      </w:r>
      <w:r w:rsidRPr="00E07D81">
        <w:rPr>
          <w:rFonts w:ascii="Arial" w:hAnsi="Arial" w:cs="Arial"/>
          <w:bCs/>
          <w:sz w:val="22"/>
          <w:szCs w:val="22"/>
        </w:rPr>
        <w:t xml:space="preserve"> euros, un </w:t>
      </w:r>
      <w:r>
        <w:rPr>
          <w:rFonts w:ascii="Arial" w:hAnsi="Arial" w:cs="Arial"/>
          <w:bCs/>
          <w:sz w:val="22"/>
          <w:szCs w:val="22"/>
        </w:rPr>
        <w:t>5,96</w:t>
      </w:r>
      <w:r w:rsidRPr="005C4146">
        <w:rPr>
          <w:rFonts w:ascii="Arial" w:hAnsi="Arial" w:cs="Arial"/>
          <w:bCs/>
          <w:sz w:val="22"/>
          <w:szCs w:val="22"/>
        </w:rPr>
        <w:t xml:space="preserve">%. La disminución de este capítulo está relacionada directamente con el gasto derivado </w:t>
      </w:r>
      <w:r>
        <w:rPr>
          <w:rFonts w:ascii="Arial" w:hAnsi="Arial" w:cs="Arial"/>
          <w:bCs/>
          <w:sz w:val="22"/>
          <w:szCs w:val="22"/>
        </w:rPr>
        <w:t>del</w:t>
      </w:r>
      <w:r w:rsidRPr="005C4146">
        <w:rPr>
          <w:rFonts w:ascii="Arial" w:hAnsi="Arial" w:cs="Arial"/>
          <w:bCs/>
          <w:sz w:val="22"/>
          <w:szCs w:val="22"/>
        </w:rPr>
        <w:t xml:space="preserve"> suministro de vestuario y equipamiento de seguridad personal</w:t>
      </w:r>
      <w:r>
        <w:rPr>
          <w:rFonts w:ascii="Arial" w:hAnsi="Arial" w:cs="Arial"/>
          <w:bCs/>
          <w:sz w:val="22"/>
          <w:szCs w:val="22"/>
        </w:rPr>
        <w:t xml:space="preserve"> (EPI´s)</w:t>
      </w:r>
      <w:r w:rsidRPr="005C4146">
        <w:rPr>
          <w:rFonts w:ascii="Arial" w:hAnsi="Arial" w:cs="Arial"/>
          <w:bCs/>
          <w:sz w:val="22"/>
          <w:szCs w:val="22"/>
        </w:rPr>
        <w:t>, necesario para el cumplimiento de las normas sobre seguridad e higiene de los trabajadores, que en el ejercicio 20</w:t>
      </w:r>
      <w:r>
        <w:rPr>
          <w:rFonts w:ascii="Arial" w:hAnsi="Arial" w:cs="Arial"/>
          <w:bCs/>
          <w:sz w:val="22"/>
          <w:szCs w:val="22"/>
        </w:rPr>
        <w:t>23</w:t>
      </w:r>
      <w:r w:rsidRPr="005C4146">
        <w:rPr>
          <w:rFonts w:ascii="Arial" w:hAnsi="Arial" w:cs="Arial"/>
          <w:bCs/>
          <w:sz w:val="22"/>
          <w:szCs w:val="22"/>
        </w:rPr>
        <w:t xml:space="preserve"> </w:t>
      </w:r>
      <w:r>
        <w:rPr>
          <w:rFonts w:ascii="Arial" w:hAnsi="Arial" w:cs="Arial"/>
          <w:bCs/>
          <w:sz w:val="22"/>
          <w:szCs w:val="22"/>
        </w:rPr>
        <w:t>se presupuestó por</w:t>
      </w:r>
      <w:r w:rsidRPr="005C4146">
        <w:rPr>
          <w:rFonts w:ascii="Arial" w:hAnsi="Arial" w:cs="Arial"/>
          <w:bCs/>
          <w:sz w:val="22"/>
          <w:szCs w:val="22"/>
        </w:rPr>
        <w:t xml:space="preserve"> </w:t>
      </w:r>
      <w:r>
        <w:rPr>
          <w:rFonts w:ascii="Arial" w:hAnsi="Arial" w:cs="Arial"/>
          <w:bCs/>
          <w:sz w:val="22"/>
          <w:szCs w:val="22"/>
        </w:rPr>
        <w:t>361.234,52</w:t>
      </w:r>
      <w:r w:rsidRPr="005C4146">
        <w:rPr>
          <w:rFonts w:ascii="Arial" w:hAnsi="Arial" w:cs="Arial"/>
          <w:bCs/>
          <w:sz w:val="22"/>
          <w:szCs w:val="22"/>
        </w:rPr>
        <w:t xml:space="preserve"> euros</w:t>
      </w:r>
      <w:r>
        <w:rPr>
          <w:rFonts w:ascii="Arial" w:hAnsi="Arial" w:cs="Arial"/>
          <w:bCs/>
          <w:sz w:val="22"/>
          <w:szCs w:val="22"/>
        </w:rPr>
        <w:t xml:space="preserve">, y que </w:t>
      </w:r>
      <w:r w:rsidRPr="005C4146">
        <w:rPr>
          <w:rFonts w:ascii="Arial" w:hAnsi="Arial" w:cs="Arial"/>
          <w:bCs/>
          <w:sz w:val="22"/>
          <w:szCs w:val="22"/>
        </w:rPr>
        <w:t>en 20</w:t>
      </w:r>
      <w:r>
        <w:rPr>
          <w:rFonts w:ascii="Arial" w:hAnsi="Arial" w:cs="Arial"/>
          <w:bCs/>
          <w:sz w:val="22"/>
          <w:szCs w:val="22"/>
        </w:rPr>
        <w:t xml:space="preserve">24 </w:t>
      </w:r>
      <w:r w:rsidRPr="005C4146">
        <w:rPr>
          <w:rFonts w:ascii="Arial" w:hAnsi="Arial" w:cs="Arial"/>
          <w:bCs/>
          <w:sz w:val="22"/>
          <w:szCs w:val="22"/>
        </w:rPr>
        <w:t xml:space="preserve">se reduce hasta </w:t>
      </w:r>
      <w:r>
        <w:rPr>
          <w:rFonts w:ascii="Arial" w:hAnsi="Arial" w:cs="Arial"/>
          <w:bCs/>
          <w:sz w:val="22"/>
          <w:szCs w:val="22"/>
        </w:rPr>
        <w:t>80.600,00</w:t>
      </w:r>
      <w:r w:rsidRPr="005C4146">
        <w:rPr>
          <w:rFonts w:ascii="Arial" w:hAnsi="Arial" w:cs="Arial"/>
          <w:bCs/>
          <w:sz w:val="22"/>
          <w:szCs w:val="22"/>
        </w:rPr>
        <w:t xml:space="preserve"> euros</w:t>
      </w:r>
      <w:r>
        <w:rPr>
          <w:rFonts w:ascii="Arial" w:hAnsi="Arial" w:cs="Arial"/>
          <w:bCs/>
          <w:sz w:val="22"/>
          <w:szCs w:val="22"/>
        </w:rPr>
        <w:t>, ya que esta licitación se realiza cada dos años</w:t>
      </w:r>
      <w:r w:rsidRPr="005C4146">
        <w:rPr>
          <w:rFonts w:ascii="Arial" w:hAnsi="Arial" w:cs="Arial"/>
          <w:bCs/>
          <w:sz w:val="22"/>
          <w:szCs w:val="22"/>
        </w:rPr>
        <w:t xml:space="preserve">.   </w:t>
      </w:r>
    </w:p>
    <w:p w14:paraId="3C23F832" w14:textId="77777777" w:rsidR="00487362" w:rsidRPr="00BB30A6" w:rsidRDefault="00487362" w:rsidP="00487362">
      <w:pPr>
        <w:spacing w:before="120" w:line="300" w:lineRule="auto"/>
        <w:ind w:firstLine="709"/>
        <w:jc w:val="both"/>
        <w:rPr>
          <w:rFonts w:ascii="Arial" w:hAnsi="Arial" w:cs="Arial"/>
          <w:bCs/>
          <w:color w:val="FF0000"/>
          <w:sz w:val="22"/>
          <w:szCs w:val="22"/>
          <w:highlight w:val="yellow"/>
        </w:rPr>
      </w:pPr>
    </w:p>
    <w:p w14:paraId="4AF577F2" w14:textId="77777777" w:rsidR="00487362" w:rsidRPr="004633C8" w:rsidRDefault="00487362" w:rsidP="00487362">
      <w:pPr>
        <w:spacing w:before="120" w:line="300" w:lineRule="auto"/>
        <w:ind w:firstLine="709"/>
        <w:jc w:val="both"/>
        <w:rPr>
          <w:rFonts w:ascii="Arial" w:hAnsi="Arial" w:cs="Arial"/>
          <w:bCs/>
          <w:sz w:val="22"/>
          <w:szCs w:val="22"/>
        </w:rPr>
      </w:pPr>
      <w:r w:rsidRPr="00630892">
        <w:rPr>
          <w:rFonts w:ascii="Arial" w:hAnsi="Arial" w:cs="Arial"/>
          <w:bCs/>
          <w:sz w:val="22"/>
          <w:szCs w:val="22"/>
        </w:rPr>
        <w:lastRenderedPageBreak/>
        <w:t xml:space="preserve">En el </w:t>
      </w:r>
      <w:r w:rsidRPr="00630892">
        <w:rPr>
          <w:rFonts w:ascii="Arial" w:hAnsi="Arial" w:cs="Arial"/>
          <w:b/>
          <w:bCs/>
          <w:sz w:val="22"/>
          <w:szCs w:val="22"/>
          <w:u w:val="single"/>
        </w:rPr>
        <w:t>Capítulo III</w:t>
      </w:r>
      <w:r w:rsidRPr="00630892">
        <w:rPr>
          <w:rFonts w:ascii="Arial" w:hAnsi="Arial" w:cs="Arial"/>
          <w:bCs/>
          <w:sz w:val="22"/>
          <w:szCs w:val="22"/>
        </w:rPr>
        <w:t xml:space="preserve"> </w:t>
      </w:r>
      <w:r>
        <w:rPr>
          <w:rFonts w:ascii="Arial" w:hAnsi="Arial" w:cs="Arial"/>
          <w:bCs/>
          <w:sz w:val="22"/>
          <w:szCs w:val="22"/>
        </w:rPr>
        <w:t xml:space="preserve">solo </w:t>
      </w:r>
      <w:r w:rsidRPr="00630892">
        <w:rPr>
          <w:rFonts w:ascii="Arial" w:hAnsi="Arial" w:cs="Arial"/>
          <w:bCs/>
          <w:sz w:val="22"/>
          <w:szCs w:val="22"/>
        </w:rPr>
        <w:t xml:space="preserve">se incluye la aplicación para </w:t>
      </w:r>
      <w:r>
        <w:rPr>
          <w:rFonts w:ascii="Arial" w:hAnsi="Arial" w:cs="Arial"/>
          <w:bCs/>
          <w:sz w:val="22"/>
          <w:szCs w:val="22"/>
        </w:rPr>
        <w:t>intereses de demora</w:t>
      </w:r>
      <w:r w:rsidRPr="00630892">
        <w:rPr>
          <w:rFonts w:ascii="Arial" w:hAnsi="Arial" w:cs="Arial"/>
          <w:bCs/>
          <w:sz w:val="22"/>
          <w:szCs w:val="22"/>
        </w:rPr>
        <w:t>, ya que el Consorcio no tiene concertadas operaciones de crédito ni a largo ni a corto plazo con entidades bancarias</w:t>
      </w:r>
      <w:r>
        <w:rPr>
          <w:rFonts w:ascii="Arial" w:hAnsi="Arial" w:cs="Arial"/>
          <w:bCs/>
          <w:sz w:val="22"/>
          <w:szCs w:val="22"/>
        </w:rPr>
        <w:t>, por lo que este capítulo no tiene peso en el presupuesto.</w:t>
      </w:r>
    </w:p>
    <w:p w14:paraId="46075A54" w14:textId="77777777" w:rsidR="00487362" w:rsidRDefault="00487362" w:rsidP="00487362">
      <w:pPr>
        <w:spacing w:before="120" w:line="300" w:lineRule="auto"/>
        <w:ind w:firstLine="709"/>
        <w:jc w:val="both"/>
        <w:rPr>
          <w:rFonts w:ascii="Arial" w:hAnsi="Arial" w:cs="Arial"/>
          <w:bCs/>
          <w:sz w:val="22"/>
          <w:szCs w:val="22"/>
        </w:rPr>
      </w:pPr>
    </w:p>
    <w:p w14:paraId="23211312" w14:textId="77777777" w:rsidR="00487362" w:rsidRPr="00BA539A" w:rsidRDefault="00487362" w:rsidP="00487362">
      <w:pPr>
        <w:spacing w:before="120" w:line="300" w:lineRule="auto"/>
        <w:ind w:firstLine="709"/>
        <w:jc w:val="both"/>
        <w:rPr>
          <w:rFonts w:ascii="Arial" w:hAnsi="Arial" w:cs="Arial"/>
          <w:bCs/>
          <w:sz w:val="22"/>
          <w:szCs w:val="22"/>
        </w:rPr>
      </w:pPr>
      <w:r w:rsidRPr="00BA539A">
        <w:rPr>
          <w:rFonts w:ascii="Arial" w:hAnsi="Arial" w:cs="Arial"/>
          <w:bCs/>
          <w:sz w:val="22"/>
          <w:szCs w:val="22"/>
        </w:rPr>
        <w:t xml:space="preserve">El </w:t>
      </w:r>
      <w:r w:rsidRPr="00BA539A">
        <w:rPr>
          <w:rFonts w:ascii="Arial" w:hAnsi="Arial" w:cs="Arial"/>
          <w:b/>
          <w:bCs/>
          <w:sz w:val="22"/>
          <w:szCs w:val="22"/>
          <w:u w:val="single"/>
        </w:rPr>
        <w:t>Capítulo IV</w:t>
      </w:r>
      <w:r w:rsidRPr="00BA539A">
        <w:rPr>
          <w:rFonts w:ascii="Arial" w:hAnsi="Arial" w:cs="Arial"/>
          <w:bCs/>
          <w:sz w:val="22"/>
          <w:szCs w:val="22"/>
        </w:rPr>
        <w:t xml:space="preserve"> está formado por las subvenciones a las Asociaciones de Bomberos Voluntarios y a la Asociación Deportiva. </w:t>
      </w:r>
    </w:p>
    <w:p w14:paraId="46E5691D" w14:textId="77777777" w:rsidR="00487362" w:rsidRPr="00BA539A" w:rsidRDefault="00487362" w:rsidP="00487362">
      <w:pPr>
        <w:spacing w:before="120" w:line="300" w:lineRule="auto"/>
        <w:ind w:firstLine="709"/>
        <w:jc w:val="both"/>
        <w:rPr>
          <w:rFonts w:ascii="Arial" w:hAnsi="Arial" w:cs="Arial"/>
          <w:bCs/>
          <w:sz w:val="22"/>
          <w:szCs w:val="22"/>
        </w:rPr>
      </w:pPr>
      <w:r w:rsidRPr="00BA539A">
        <w:rPr>
          <w:rFonts w:ascii="Arial" w:hAnsi="Arial" w:cs="Arial"/>
          <w:bCs/>
          <w:sz w:val="22"/>
          <w:szCs w:val="22"/>
        </w:rPr>
        <w:t>Para este ejercicio 202</w:t>
      </w:r>
      <w:r>
        <w:rPr>
          <w:rFonts w:ascii="Arial" w:hAnsi="Arial" w:cs="Arial"/>
          <w:bCs/>
          <w:sz w:val="22"/>
          <w:szCs w:val="22"/>
        </w:rPr>
        <w:t>4</w:t>
      </w:r>
      <w:r w:rsidRPr="00BA539A">
        <w:rPr>
          <w:rFonts w:ascii="Arial" w:hAnsi="Arial" w:cs="Arial"/>
          <w:bCs/>
          <w:sz w:val="22"/>
          <w:szCs w:val="22"/>
        </w:rPr>
        <w:t xml:space="preserve">, igual que en los años anteriores, se ha presupuestado </w:t>
      </w:r>
      <w:proofErr w:type="gramStart"/>
      <w:r w:rsidRPr="00BA539A">
        <w:rPr>
          <w:rFonts w:ascii="Arial" w:hAnsi="Arial" w:cs="Arial"/>
          <w:bCs/>
          <w:sz w:val="22"/>
          <w:szCs w:val="22"/>
        </w:rPr>
        <w:t>un aportación específica</w:t>
      </w:r>
      <w:proofErr w:type="gramEnd"/>
      <w:r w:rsidRPr="00BA539A">
        <w:rPr>
          <w:rFonts w:ascii="Arial" w:hAnsi="Arial" w:cs="Arial"/>
          <w:bCs/>
          <w:sz w:val="22"/>
          <w:szCs w:val="22"/>
        </w:rPr>
        <w:t xml:space="preserve"> de corriente para las Asociaciones de Bomberos Voluntarios concedida por el Excmo. Cabildo Insular de Tenerife, por un importe de 100.000 euros, por lo que la cantidad total a subvencionar a estas asociaciones es de </w:t>
      </w:r>
      <w:r>
        <w:rPr>
          <w:rFonts w:ascii="Arial" w:hAnsi="Arial" w:cs="Arial"/>
          <w:bCs/>
          <w:sz w:val="22"/>
          <w:szCs w:val="22"/>
        </w:rPr>
        <w:t>330.427</w:t>
      </w:r>
      <w:r w:rsidRPr="007914D9">
        <w:rPr>
          <w:rFonts w:ascii="Arial" w:hAnsi="Arial" w:cs="Arial"/>
          <w:bCs/>
          <w:sz w:val="22"/>
          <w:szCs w:val="22"/>
        </w:rPr>
        <w:t>,00 euros.</w:t>
      </w:r>
    </w:p>
    <w:p w14:paraId="69FE53A0" w14:textId="77777777" w:rsidR="00487362" w:rsidRPr="00BA539A" w:rsidRDefault="00487362" w:rsidP="00487362">
      <w:pPr>
        <w:spacing w:before="120" w:line="300" w:lineRule="auto"/>
        <w:ind w:firstLine="709"/>
        <w:jc w:val="both"/>
        <w:rPr>
          <w:rFonts w:ascii="Arial" w:hAnsi="Arial" w:cs="Arial"/>
          <w:bCs/>
          <w:sz w:val="22"/>
          <w:szCs w:val="22"/>
        </w:rPr>
      </w:pPr>
      <w:r w:rsidRPr="00BA539A">
        <w:rPr>
          <w:rFonts w:ascii="Arial" w:hAnsi="Arial" w:cs="Arial"/>
          <w:bCs/>
          <w:sz w:val="22"/>
          <w:szCs w:val="22"/>
        </w:rPr>
        <w:t xml:space="preserve">La subvención a la Asociación Deportiva </w:t>
      </w:r>
      <w:r>
        <w:rPr>
          <w:rFonts w:ascii="Arial" w:hAnsi="Arial" w:cs="Arial"/>
          <w:bCs/>
          <w:sz w:val="22"/>
          <w:szCs w:val="22"/>
        </w:rPr>
        <w:t>continúa siendo de</w:t>
      </w:r>
      <w:r w:rsidRPr="00BA539A">
        <w:rPr>
          <w:rFonts w:ascii="Arial" w:hAnsi="Arial" w:cs="Arial"/>
          <w:bCs/>
          <w:sz w:val="22"/>
          <w:szCs w:val="22"/>
        </w:rPr>
        <w:t xml:space="preserve"> 10.000,00 euros anuales.</w:t>
      </w:r>
    </w:p>
    <w:p w14:paraId="5CDB1603" w14:textId="77777777" w:rsidR="00487362" w:rsidRPr="00420D97" w:rsidRDefault="00487362" w:rsidP="00487362">
      <w:pPr>
        <w:spacing w:before="120" w:line="300" w:lineRule="auto"/>
        <w:ind w:firstLine="709"/>
        <w:jc w:val="both"/>
        <w:rPr>
          <w:rFonts w:ascii="Arial" w:hAnsi="Arial" w:cs="Arial"/>
          <w:bCs/>
          <w:sz w:val="22"/>
          <w:szCs w:val="22"/>
        </w:rPr>
      </w:pPr>
      <w:r w:rsidRPr="00420D97">
        <w:rPr>
          <w:rFonts w:ascii="Arial" w:hAnsi="Arial" w:cs="Arial"/>
          <w:bCs/>
          <w:sz w:val="22"/>
          <w:szCs w:val="22"/>
        </w:rPr>
        <w:t xml:space="preserve">Todas estas subvenciones son nominativas y están detalladas en el Anexo I de este Presupuesto. </w:t>
      </w:r>
    </w:p>
    <w:p w14:paraId="5BE858B7" w14:textId="77777777" w:rsidR="00487362" w:rsidRDefault="00487362" w:rsidP="00487362">
      <w:pPr>
        <w:spacing w:before="120" w:line="300" w:lineRule="auto"/>
        <w:ind w:firstLine="709"/>
        <w:jc w:val="both"/>
        <w:rPr>
          <w:rFonts w:ascii="Arial" w:hAnsi="Arial" w:cs="Arial"/>
          <w:bCs/>
          <w:sz w:val="22"/>
          <w:szCs w:val="22"/>
        </w:rPr>
      </w:pPr>
      <w:r w:rsidRPr="00CF3004">
        <w:rPr>
          <w:rFonts w:ascii="Arial" w:hAnsi="Arial" w:cs="Arial"/>
          <w:bCs/>
          <w:sz w:val="22"/>
          <w:szCs w:val="22"/>
        </w:rPr>
        <w:t xml:space="preserve">Este capítulo experimenta un aumento de </w:t>
      </w:r>
      <w:r>
        <w:rPr>
          <w:rFonts w:ascii="Arial" w:hAnsi="Arial" w:cs="Arial"/>
          <w:bCs/>
          <w:sz w:val="22"/>
          <w:szCs w:val="22"/>
        </w:rPr>
        <w:t xml:space="preserve">13.200,00 </w:t>
      </w:r>
      <w:r w:rsidRPr="00CF3004">
        <w:rPr>
          <w:rFonts w:ascii="Arial" w:hAnsi="Arial" w:cs="Arial"/>
          <w:bCs/>
          <w:sz w:val="22"/>
          <w:szCs w:val="22"/>
        </w:rPr>
        <w:t>euros con respecto al ejercicio 202</w:t>
      </w:r>
      <w:r>
        <w:rPr>
          <w:rFonts w:ascii="Arial" w:hAnsi="Arial" w:cs="Arial"/>
          <w:bCs/>
          <w:sz w:val="22"/>
          <w:szCs w:val="22"/>
        </w:rPr>
        <w:t>3</w:t>
      </w:r>
      <w:r w:rsidRPr="00CF3004">
        <w:rPr>
          <w:rFonts w:ascii="Arial" w:hAnsi="Arial" w:cs="Arial"/>
          <w:bCs/>
          <w:sz w:val="22"/>
          <w:szCs w:val="22"/>
        </w:rPr>
        <w:t xml:space="preserve">, lo que supone un </w:t>
      </w:r>
      <w:r>
        <w:rPr>
          <w:rFonts w:ascii="Arial" w:hAnsi="Arial" w:cs="Arial"/>
          <w:bCs/>
          <w:sz w:val="22"/>
          <w:szCs w:val="22"/>
        </w:rPr>
        <w:t>4,03</w:t>
      </w:r>
      <w:r w:rsidRPr="00CF3004">
        <w:rPr>
          <w:rFonts w:ascii="Arial" w:hAnsi="Arial" w:cs="Arial"/>
          <w:bCs/>
          <w:sz w:val="22"/>
          <w:szCs w:val="22"/>
        </w:rPr>
        <w:t>%.</w:t>
      </w:r>
    </w:p>
    <w:p w14:paraId="7BA04655" w14:textId="77777777" w:rsidR="00487362" w:rsidRDefault="00487362" w:rsidP="00487362">
      <w:pPr>
        <w:spacing w:before="120" w:line="300" w:lineRule="auto"/>
        <w:ind w:firstLine="709"/>
        <w:jc w:val="both"/>
        <w:rPr>
          <w:rFonts w:ascii="Arial" w:hAnsi="Arial" w:cs="Arial"/>
          <w:bCs/>
          <w:sz w:val="22"/>
          <w:szCs w:val="22"/>
        </w:rPr>
      </w:pPr>
    </w:p>
    <w:p w14:paraId="4EB7339F" w14:textId="77777777" w:rsidR="00487362" w:rsidRPr="00367637" w:rsidRDefault="00487362" w:rsidP="00487362">
      <w:pPr>
        <w:spacing w:before="120" w:line="300" w:lineRule="auto"/>
        <w:ind w:firstLine="709"/>
        <w:jc w:val="both"/>
        <w:rPr>
          <w:rFonts w:ascii="Arial" w:hAnsi="Arial" w:cs="Arial"/>
          <w:sz w:val="22"/>
          <w:szCs w:val="22"/>
        </w:rPr>
      </w:pPr>
      <w:r w:rsidRPr="00367637">
        <w:rPr>
          <w:rFonts w:ascii="Arial" w:hAnsi="Arial" w:cs="Arial"/>
          <w:bCs/>
          <w:sz w:val="22"/>
          <w:szCs w:val="22"/>
        </w:rPr>
        <w:t xml:space="preserve">El </w:t>
      </w:r>
      <w:r w:rsidRPr="00367637">
        <w:rPr>
          <w:rFonts w:ascii="Arial" w:hAnsi="Arial" w:cs="Arial"/>
          <w:b/>
          <w:bCs/>
          <w:sz w:val="22"/>
          <w:szCs w:val="22"/>
          <w:u w:val="single"/>
        </w:rPr>
        <w:t>Capítulo V</w:t>
      </w:r>
      <w:r w:rsidRPr="00367637">
        <w:rPr>
          <w:rFonts w:ascii="Arial" w:hAnsi="Arial" w:cs="Arial"/>
          <w:bCs/>
          <w:sz w:val="22"/>
          <w:szCs w:val="22"/>
        </w:rPr>
        <w:t xml:space="preserve"> o Fondo de Contingencia para imprevistos </w:t>
      </w:r>
      <w:r w:rsidRPr="00367637">
        <w:rPr>
          <w:rFonts w:ascii="Arial" w:hAnsi="Arial" w:cs="Arial"/>
          <w:sz w:val="22"/>
          <w:szCs w:val="22"/>
        </w:rPr>
        <w:t xml:space="preserve">recoge la previsión de incrementos salariales para el año 2024, esto es, el </w:t>
      </w:r>
      <w:r w:rsidRPr="00367637">
        <w:rPr>
          <w:rFonts w:ascii="Arial" w:hAnsi="Arial" w:cs="Arial"/>
          <w:b/>
          <w:sz w:val="22"/>
          <w:szCs w:val="22"/>
        </w:rPr>
        <w:t>2,5% sobre las retribuciones a 31 de diciembre de 2023 (2% + 0,5%)</w:t>
      </w:r>
      <w:r w:rsidRPr="00367637">
        <w:rPr>
          <w:rFonts w:ascii="Arial" w:hAnsi="Arial" w:cs="Arial"/>
          <w:sz w:val="22"/>
          <w:szCs w:val="22"/>
        </w:rPr>
        <w:t xml:space="preserve">, en aplicación del Acuerdo de Mesa General de Negociación de la Función Pública, por el que se aprueba acuerdo para incluir el citado incremento retributivo en los Presupuestos Generales del Estado para 2024. </w:t>
      </w:r>
    </w:p>
    <w:p w14:paraId="654447A1" w14:textId="77777777" w:rsidR="00487362" w:rsidRDefault="00487362" w:rsidP="00487362">
      <w:pPr>
        <w:spacing w:before="120" w:line="300" w:lineRule="auto"/>
        <w:ind w:firstLine="709"/>
        <w:jc w:val="both"/>
        <w:rPr>
          <w:rFonts w:ascii="Arial" w:hAnsi="Arial" w:cs="Arial"/>
          <w:bCs/>
          <w:sz w:val="22"/>
          <w:szCs w:val="22"/>
        </w:rPr>
      </w:pPr>
      <w:r w:rsidRPr="00367637">
        <w:rPr>
          <w:rFonts w:ascii="Arial" w:hAnsi="Arial" w:cs="Arial"/>
          <w:bCs/>
          <w:sz w:val="22"/>
          <w:szCs w:val="22"/>
        </w:rPr>
        <w:t xml:space="preserve">Hay que tener en cuenta que además de haberse practicado los incrementos citados en los puestos ocupados, a nivel presupuestario también es necesario practicar el indicado incremento sobre el total de los vacantes que cuenten con dotación </w:t>
      </w:r>
      <w:r w:rsidRPr="00367637">
        <w:rPr>
          <w:rFonts w:ascii="Arial" w:hAnsi="Arial" w:cs="Arial"/>
          <w:sz w:val="22"/>
          <w:szCs w:val="22"/>
        </w:rPr>
        <w:t>presupuestaria</w:t>
      </w:r>
      <w:r w:rsidRPr="00367637">
        <w:rPr>
          <w:rFonts w:ascii="Arial" w:hAnsi="Arial" w:cs="Arial"/>
          <w:bCs/>
          <w:sz w:val="22"/>
          <w:szCs w:val="22"/>
        </w:rPr>
        <w:t>, ya sean de nueva creación, como a los ya creados con anterioridad.</w:t>
      </w:r>
    </w:p>
    <w:p w14:paraId="077CE8C6" w14:textId="77777777" w:rsidR="00487362" w:rsidRDefault="00487362" w:rsidP="00487362">
      <w:pPr>
        <w:spacing w:before="120" w:line="300" w:lineRule="auto"/>
        <w:ind w:firstLine="709"/>
        <w:jc w:val="both"/>
        <w:rPr>
          <w:rFonts w:ascii="Arial" w:hAnsi="Arial" w:cs="Arial"/>
          <w:bCs/>
          <w:sz w:val="22"/>
          <w:szCs w:val="22"/>
        </w:rPr>
      </w:pPr>
    </w:p>
    <w:p w14:paraId="5DFA9C04" w14:textId="77777777" w:rsidR="00487362" w:rsidRPr="00DC3A34" w:rsidRDefault="00487362" w:rsidP="00487362">
      <w:pPr>
        <w:spacing w:before="120" w:line="300" w:lineRule="auto"/>
        <w:ind w:firstLine="709"/>
        <w:jc w:val="both"/>
        <w:rPr>
          <w:rFonts w:ascii="Arial" w:hAnsi="Arial" w:cs="Arial"/>
          <w:bCs/>
          <w:sz w:val="22"/>
          <w:szCs w:val="22"/>
        </w:rPr>
      </w:pPr>
      <w:r w:rsidRPr="00DC3A34">
        <w:rPr>
          <w:rFonts w:ascii="Arial" w:hAnsi="Arial" w:cs="Arial"/>
          <w:bCs/>
          <w:sz w:val="22"/>
          <w:szCs w:val="22"/>
        </w:rPr>
        <w:t xml:space="preserve">El </w:t>
      </w:r>
      <w:r w:rsidRPr="00DC3A34">
        <w:rPr>
          <w:rFonts w:ascii="Arial" w:hAnsi="Arial" w:cs="Arial"/>
          <w:b/>
          <w:bCs/>
          <w:sz w:val="22"/>
          <w:szCs w:val="22"/>
          <w:u w:val="single"/>
        </w:rPr>
        <w:t>Capítulo VI</w:t>
      </w:r>
      <w:r w:rsidRPr="00DC3A34">
        <w:rPr>
          <w:rFonts w:ascii="Arial" w:hAnsi="Arial" w:cs="Arial"/>
          <w:bCs/>
          <w:sz w:val="22"/>
          <w:szCs w:val="22"/>
        </w:rPr>
        <w:t xml:space="preserve"> del Presupuesto de 202</w:t>
      </w:r>
      <w:r>
        <w:rPr>
          <w:rFonts w:ascii="Arial" w:hAnsi="Arial" w:cs="Arial"/>
          <w:bCs/>
          <w:sz w:val="22"/>
          <w:szCs w:val="22"/>
        </w:rPr>
        <w:t>4</w:t>
      </w:r>
      <w:r w:rsidRPr="00DC3A34">
        <w:rPr>
          <w:rFonts w:ascii="Arial" w:hAnsi="Arial" w:cs="Arial"/>
          <w:bCs/>
          <w:sz w:val="22"/>
          <w:szCs w:val="22"/>
        </w:rPr>
        <w:t xml:space="preserve"> </w:t>
      </w:r>
      <w:r>
        <w:rPr>
          <w:rFonts w:ascii="Arial" w:hAnsi="Arial" w:cs="Arial"/>
          <w:bCs/>
          <w:sz w:val="22"/>
          <w:szCs w:val="22"/>
        </w:rPr>
        <w:t>aumenta un 64,34</w:t>
      </w:r>
      <w:r w:rsidRPr="00DC3A34">
        <w:rPr>
          <w:rFonts w:ascii="Arial" w:hAnsi="Arial" w:cs="Arial"/>
          <w:bCs/>
          <w:sz w:val="22"/>
          <w:szCs w:val="22"/>
        </w:rPr>
        <w:t xml:space="preserve">% con respecto al </w:t>
      </w:r>
      <w:r>
        <w:rPr>
          <w:rFonts w:ascii="Arial" w:hAnsi="Arial" w:cs="Arial"/>
          <w:bCs/>
          <w:sz w:val="22"/>
          <w:szCs w:val="22"/>
        </w:rPr>
        <w:t>ejercicio precedente</w:t>
      </w:r>
      <w:r w:rsidRPr="00DC3A34">
        <w:rPr>
          <w:rFonts w:ascii="Arial" w:hAnsi="Arial" w:cs="Arial"/>
          <w:bCs/>
          <w:sz w:val="22"/>
          <w:szCs w:val="22"/>
        </w:rPr>
        <w:t xml:space="preserve">. </w:t>
      </w:r>
      <w:r>
        <w:rPr>
          <w:rFonts w:ascii="Arial" w:hAnsi="Arial" w:cs="Arial"/>
          <w:bCs/>
          <w:sz w:val="22"/>
          <w:szCs w:val="22"/>
        </w:rPr>
        <w:t xml:space="preserve">Se continúa con la renovación de la flota de vehículos y de la rehabilitación de los parques de bomberos, además de la actualización del material técnico utilizado en las intervenciones. </w:t>
      </w:r>
    </w:p>
    <w:p w14:paraId="7240261C" w14:textId="77777777" w:rsidR="00487362" w:rsidRDefault="00487362" w:rsidP="00487362">
      <w:pPr>
        <w:spacing w:before="120" w:line="300" w:lineRule="auto"/>
        <w:ind w:firstLine="709"/>
        <w:jc w:val="both"/>
        <w:rPr>
          <w:rFonts w:ascii="Arial" w:hAnsi="Arial" w:cs="Arial"/>
          <w:bCs/>
          <w:sz w:val="22"/>
          <w:szCs w:val="22"/>
        </w:rPr>
      </w:pPr>
      <w:r w:rsidRPr="00DC3A34">
        <w:rPr>
          <w:rFonts w:ascii="Arial" w:hAnsi="Arial" w:cs="Arial"/>
          <w:bCs/>
          <w:sz w:val="22"/>
          <w:szCs w:val="22"/>
        </w:rPr>
        <w:t xml:space="preserve">En el presente ejercicio se tiene previsto realizar inversiones por importe total de </w:t>
      </w:r>
      <w:r>
        <w:rPr>
          <w:rFonts w:ascii="Arial" w:hAnsi="Arial" w:cs="Arial"/>
          <w:bCs/>
          <w:sz w:val="22"/>
          <w:szCs w:val="22"/>
        </w:rPr>
        <w:t>2.215.056,09</w:t>
      </w:r>
      <w:r w:rsidRPr="00DC3A34">
        <w:rPr>
          <w:rFonts w:ascii="Arial" w:hAnsi="Arial" w:cs="Arial"/>
          <w:bCs/>
          <w:sz w:val="22"/>
          <w:szCs w:val="22"/>
        </w:rPr>
        <w:t xml:space="preserve"> euros, que a continuación se detallan:</w:t>
      </w:r>
    </w:p>
    <w:p w14:paraId="66AC3B73" w14:textId="77777777" w:rsidR="00487362" w:rsidRDefault="00487362" w:rsidP="00487362">
      <w:pPr>
        <w:spacing w:before="120" w:line="300" w:lineRule="auto"/>
        <w:ind w:firstLine="709"/>
        <w:jc w:val="both"/>
        <w:rPr>
          <w:rFonts w:ascii="Arial" w:hAnsi="Arial" w:cs="Arial"/>
          <w:bCs/>
          <w:sz w:val="22"/>
          <w:szCs w:val="22"/>
        </w:rPr>
      </w:pPr>
    </w:p>
    <w:p w14:paraId="36CB49A1" w14:textId="77777777" w:rsidR="00487362" w:rsidRDefault="00487362" w:rsidP="00487362">
      <w:pPr>
        <w:spacing w:before="120" w:line="300" w:lineRule="auto"/>
        <w:ind w:firstLine="709"/>
        <w:jc w:val="both"/>
        <w:rPr>
          <w:rFonts w:ascii="Arial" w:hAnsi="Arial" w:cs="Arial"/>
          <w:bCs/>
          <w:sz w:val="22"/>
          <w:szCs w:val="22"/>
        </w:rPr>
      </w:pPr>
    </w:p>
    <w:p w14:paraId="2202E627" w14:textId="77777777" w:rsidR="00487362" w:rsidRPr="00F9569E" w:rsidRDefault="00487362" w:rsidP="00487362">
      <w:pPr>
        <w:spacing w:before="120" w:line="300" w:lineRule="auto"/>
        <w:ind w:firstLine="709"/>
        <w:jc w:val="both"/>
        <w:rPr>
          <w:rFonts w:ascii="Arial" w:hAnsi="Arial" w:cs="Arial"/>
          <w:bCs/>
          <w:sz w:val="22"/>
          <w:szCs w:val="22"/>
        </w:rPr>
      </w:pPr>
    </w:p>
    <w:tbl>
      <w:tblPr>
        <w:tblW w:w="8505" w:type="dxa"/>
        <w:tblCellMar>
          <w:left w:w="70" w:type="dxa"/>
          <w:right w:w="70" w:type="dxa"/>
        </w:tblCellMar>
        <w:tblLook w:val="04A0" w:firstRow="1" w:lastRow="0" w:firstColumn="1" w:lastColumn="0" w:noHBand="0" w:noVBand="1"/>
      </w:tblPr>
      <w:tblGrid>
        <w:gridCol w:w="6946"/>
        <w:gridCol w:w="1559"/>
      </w:tblGrid>
      <w:tr w:rsidR="00487362" w:rsidRPr="00E87BC9" w14:paraId="13980067" w14:textId="77777777" w:rsidTr="003B32B5">
        <w:trPr>
          <w:trHeight w:val="315"/>
        </w:trPr>
        <w:tc>
          <w:tcPr>
            <w:tcW w:w="6946" w:type="dxa"/>
            <w:tcBorders>
              <w:top w:val="nil"/>
              <w:left w:val="nil"/>
              <w:bottom w:val="single" w:sz="8" w:space="0" w:color="auto"/>
              <w:right w:val="single" w:sz="8" w:space="0" w:color="auto"/>
            </w:tcBorders>
            <w:shd w:val="clear" w:color="auto" w:fill="auto"/>
            <w:noWrap/>
            <w:vAlign w:val="center"/>
            <w:hideMark/>
          </w:tcPr>
          <w:p w14:paraId="644421E2" w14:textId="77777777" w:rsidR="00487362" w:rsidRPr="00E87BC9" w:rsidRDefault="00487362" w:rsidP="003B32B5">
            <w:pPr>
              <w:autoSpaceDE/>
              <w:autoSpaceDN/>
              <w:rPr>
                <w:rFonts w:ascii="Arial" w:hAnsi="Arial" w:cs="Arial"/>
                <w:color w:val="FF0000"/>
                <w:sz w:val="22"/>
                <w:szCs w:val="22"/>
              </w:rPr>
            </w:pPr>
            <w:r w:rsidRPr="00E87BC9">
              <w:rPr>
                <w:rFonts w:ascii="Arial" w:hAnsi="Arial" w:cs="Arial"/>
                <w:color w:val="FF0000"/>
                <w:sz w:val="22"/>
                <w:szCs w:val="22"/>
              </w:rPr>
              <w:lastRenderedPageBreak/>
              <w:t>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4D4D264" w14:textId="77777777" w:rsidR="00487362" w:rsidRPr="00E87BC9" w:rsidRDefault="00487362" w:rsidP="003B32B5">
            <w:pPr>
              <w:autoSpaceDE/>
              <w:autoSpaceDN/>
              <w:jc w:val="center"/>
              <w:rPr>
                <w:rFonts w:ascii="Arial" w:hAnsi="Arial" w:cs="Arial"/>
                <w:b/>
                <w:bCs/>
                <w:color w:val="000000"/>
                <w:sz w:val="22"/>
                <w:szCs w:val="22"/>
              </w:rPr>
            </w:pPr>
            <w:r w:rsidRPr="00E87BC9">
              <w:rPr>
                <w:rFonts w:ascii="Arial" w:hAnsi="Arial" w:cs="Arial"/>
                <w:b/>
                <w:bCs/>
                <w:color w:val="000000"/>
                <w:sz w:val="22"/>
                <w:szCs w:val="22"/>
              </w:rPr>
              <w:t>2024</w:t>
            </w:r>
          </w:p>
        </w:tc>
      </w:tr>
      <w:tr w:rsidR="00487362" w:rsidRPr="00E87BC9" w14:paraId="22539E78"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49541A20" w14:textId="77777777" w:rsidR="00487362" w:rsidRPr="00E87BC9" w:rsidRDefault="00487362" w:rsidP="003B32B5">
            <w:pPr>
              <w:autoSpaceDE/>
              <w:autoSpaceDN/>
              <w:rPr>
                <w:rFonts w:ascii="Arial" w:hAnsi="Arial" w:cs="Arial"/>
                <w:color w:val="FF0000"/>
                <w:sz w:val="22"/>
                <w:szCs w:val="22"/>
              </w:rPr>
            </w:pPr>
            <w:r w:rsidRPr="00E87BC9">
              <w:rPr>
                <w:rFonts w:ascii="Arial" w:hAnsi="Arial" w:cs="Arial"/>
                <w:color w:val="FF0000"/>
                <w:sz w:val="22"/>
                <w:szCs w:val="22"/>
              </w:rPr>
              <w:t> </w:t>
            </w:r>
          </w:p>
        </w:tc>
        <w:tc>
          <w:tcPr>
            <w:tcW w:w="1559" w:type="dxa"/>
            <w:tcBorders>
              <w:top w:val="nil"/>
              <w:left w:val="nil"/>
              <w:bottom w:val="single" w:sz="8" w:space="0" w:color="auto"/>
              <w:right w:val="nil"/>
            </w:tcBorders>
            <w:shd w:val="clear" w:color="auto" w:fill="auto"/>
            <w:noWrap/>
            <w:vAlign w:val="center"/>
            <w:hideMark/>
          </w:tcPr>
          <w:p w14:paraId="3A7B2BFF" w14:textId="77777777" w:rsidR="00487362" w:rsidRPr="00E87BC9" w:rsidRDefault="00487362" w:rsidP="003B32B5">
            <w:pPr>
              <w:autoSpaceDE/>
              <w:autoSpaceDN/>
              <w:jc w:val="center"/>
              <w:rPr>
                <w:rFonts w:ascii="Arial" w:hAnsi="Arial" w:cs="Arial"/>
                <w:b/>
                <w:bCs/>
                <w:color w:val="000000"/>
                <w:sz w:val="22"/>
                <w:szCs w:val="22"/>
              </w:rPr>
            </w:pPr>
            <w:r w:rsidRPr="00E87BC9">
              <w:rPr>
                <w:rFonts w:ascii="Arial" w:hAnsi="Arial" w:cs="Arial"/>
                <w:b/>
                <w:bCs/>
                <w:color w:val="000000"/>
                <w:sz w:val="22"/>
                <w:szCs w:val="22"/>
              </w:rPr>
              <w:t> </w:t>
            </w:r>
          </w:p>
        </w:tc>
      </w:tr>
      <w:tr w:rsidR="00487362" w:rsidRPr="00E87BC9" w14:paraId="4FC9DB1B"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7CF32A59"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EDIFICIOS Y OTRAS CONTRUCCIONES</w:t>
            </w:r>
          </w:p>
        </w:tc>
        <w:tc>
          <w:tcPr>
            <w:tcW w:w="1559" w:type="dxa"/>
            <w:tcBorders>
              <w:top w:val="nil"/>
              <w:left w:val="nil"/>
              <w:bottom w:val="single" w:sz="8" w:space="0" w:color="auto"/>
              <w:right w:val="single" w:sz="8" w:space="0" w:color="auto"/>
            </w:tcBorders>
            <w:shd w:val="clear" w:color="000000" w:fill="DBE5F1"/>
            <w:noWrap/>
            <w:vAlign w:val="center"/>
            <w:hideMark/>
          </w:tcPr>
          <w:p w14:paraId="17AC807C"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10.000,00</w:t>
            </w:r>
          </w:p>
        </w:tc>
      </w:tr>
      <w:tr w:rsidR="00487362" w:rsidRPr="00E87BC9" w14:paraId="4A268881"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0DE76E48"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Redacción de Proyecto del Centro de Formación PB Orotava</w:t>
            </w:r>
          </w:p>
        </w:tc>
        <w:tc>
          <w:tcPr>
            <w:tcW w:w="1559" w:type="dxa"/>
            <w:tcBorders>
              <w:top w:val="nil"/>
              <w:left w:val="nil"/>
              <w:bottom w:val="single" w:sz="8" w:space="0" w:color="auto"/>
              <w:right w:val="nil"/>
            </w:tcBorders>
            <w:shd w:val="clear" w:color="auto" w:fill="auto"/>
            <w:noWrap/>
            <w:vAlign w:val="center"/>
            <w:hideMark/>
          </w:tcPr>
          <w:p w14:paraId="027E80F9"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10.000,00</w:t>
            </w:r>
          </w:p>
        </w:tc>
      </w:tr>
      <w:tr w:rsidR="00487362" w:rsidRPr="00E87BC9" w14:paraId="1E9F1BF0"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434F919C"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 xml:space="preserve">MATERIAL DE TRANSPORTE </w:t>
            </w:r>
          </w:p>
        </w:tc>
        <w:tc>
          <w:tcPr>
            <w:tcW w:w="1559" w:type="dxa"/>
            <w:tcBorders>
              <w:top w:val="nil"/>
              <w:left w:val="nil"/>
              <w:bottom w:val="single" w:sz="8" w:space="0" w:color="auto"/>
              <w:right w:val="single" w:sz="8" w:space="0" w:color="auto"/>
            </w:tcBorders>
            <w:shd w:val="clear" w:color="000000" w:fill="DBE5F1"/>
            <w:noWrap/>
            <w:vAlign w:val="center"/>
            <w:hideMark/>
          </w:tcPr>
          <w:p w14:paraId="5E91E8DC"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1.360.000,00</w:t>
            </w:r>
          </w:p>
        </w:tc>
      </w:tr>
      <w:tr w:rsidR="00487362" w:rsidRPr="00E87BC9" w14:paraId="7AC72A49"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58FF7BC3"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Bomba Urbana Pesada (BUP)</w:t>
            </w:r>
          </w:p>
        </w:tc>
        <w:tc>
          <w:tcPr>
            <w:tcW w:w="1559" w:type="dxa"/>
            <w:tcBorders>
              <w:top w:val="nil"/>
              <w:left w:val="nil"/>
              <w:bottom w:val="single" w:sz="8" w:space="0" w:color="auto"/>
              <w:right w:val="nil"/>
            </w:tcBorders>
            <w:shd w:val="clear" w:color="auto" w:fill="auto"/>
            <w:noWrap/>
            <w:vAlign w:val="center"/>
            <w:hideMark/>
          </w:tcPr>
          <w:p w14:paraId="5C3BBCCF"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1.350.000,00</w:t>
            </w:r>
          </w:p>
        </w:tc>
      </w:tr>
      <w:tr w:rsidR="00487362" w:rsidRPr="00E87BC9" w14:paraId="25F3C0C5"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45AE3199"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Vehículo logística modificación</w:t>
            </w:r>
          </w:p>
        </w:tc>
        <w:tc>
          <w:tcPr>
            <w:tcW w:w="1559" w:type="dxa"/>
            <w:tcBorders>
              <w:top w:val="nil"/>
              <w:left w:val="nil"/>
              <w:bottom w:val="single" w:sz="8" w:space="0" w:color="auto"/>
              <w:right w:val="nil"/>
            </w:tcBorders>
            <w:shd w:val="clear" w:color="auto" w:fill="auto"/>
            <w:noWrap/>
            <w:vAlign w:val="center"/>
            <w:hideMark/>
          </w:tcPr>
          <w:p w14:paraId="46B196D2"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10.000,00</w:t>
            </w:r>
          </w:p>
        </w:tc>
      </w:tr>
      <w:tr w:rsidR="00487362" w:rsidRPr="00E87BC9" w14:paraId="01A0DAAF"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13370E2D"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 xml:space="preserve">MOBILIARIO </w:t>
            </w:r>
          </w:p>
        </w:tc>
        <w:tc>
          <w:tcPr>
            <w:tcW w:w="1559" w:type="dxa"/>
            <w:tcBorders>
              <w:top w:val="nil"/>
              <w:left w:val="nil"/>
              <w:bottom w:val="single" w:sz="8" w:space="0" w:color="auto"/>
              <w:right w:val="single" w:sz="8" w:space="0" w:color="auto"/>
            </w:tcBorders>
            <w:shd w:val="clear" w:color="000000" w:fill="DBE5F1"/>
            <w:noWrap/>
            <w:vAlign w:val="center"/>
            <w:hideMark/>
          </w:tcPr>
          <w:p w14:paraId="42278833"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83.356,</w:t>
            </w:r>
            <w:r>
              <w:rPr>
                <w:rFonts w:ascii="Arial" w:hAnsi="Arial" w:cs="Arial"/>
                <w:b/>
                <w:bCs/>
              </w:rPr>
              <w:t>09</w:t>
            </w:r>
          </w:p>
        </w:tc>
      </w:tr>
      <w:tr w:rsidR="00487362" w:rsidRPr="00E87BC9" w14:paraId="5744574E"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12F20A00"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 xml:space="preserve">Mobiliario para todos los centros </w:t>
            </w:r>
          </w:p>
        </w:tc>
        <w:tc>
          <w:tcPr>
            <w:tcW w:w="1559" w:type="dxa"/>
            <w:tcBorders>
              <w:top w:val="nil"/>
              <w:left w:val="nil"/>
              <w:bottom w:val="single" w:sz="8" w:space="0" w:color="auto"/>
              <w:right w:val="nil"/>
            </w:tcBorders>
            <w:shd w:val="clear" w:color="auto" w:fill="auto"/>
            <w:noWrap/>
            <w:vAlign w:val="center"/>
            <w:hideMark/>
          </w:tcPr>
          <w:p w14:paraId="6A764BBC"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83.356,</w:t>
            </w:r>
            <w:r>
              <w:rPr>
                <w:rFonts w:ascii="Arial" w:hAnsi="Arial" w:cs="Arial"/>
                <w:color w:val="000000"/>
                <w:sz w:val="18"/>
                <w:szCs w:val="18"/>
              </w:rPr>
              <w:t>09</w:t>
            </w:r>
          </w:p>
        </w:tc>
      </w:tr>
      <w:tr w:rsidR="00487362" w:rsidRPr="00E87BC9" w14:paraId="2905B196"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73D631FC"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EQUIPOS PARA PROCESOS DE INFORMACIÓN</w:t>
            </w:r>
          </w:p>
        </w:tc>
        <w:tc>
          <w:tcPr>
            <w:tcW w:w="1559" w:type="dxa"/>
            <w:tcBorders>
              <w:top w:val="nil"/>
              <w:left w:val="nil"/>
              <w:bottom w:val="single" w:sz="8" w:space="0" w:color="auto"/>
              <w:right w:val="single" w:sz="8" w:space="0" w:color="auto"/>
            </w:tcBorders>
            <w:shd w:val="clear" w:color="000000" w:fill="DBE5F1"/>
            <w:noWrap/>
            <w:vAlign w:val="center"/>
            <w:hideMark/>
          </w:tcPr>
          <w:p w14:paraId="7B488AE7"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74.200,00</w:t>
            </w:r>
          </w:p>
        </w:tc>
      </w:tr>
      <w:tr w:rsidR="00487362" w:rsidRPr="00E87BC9" w14:paraId="5D60D6C2"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5A7A9019"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Equipamiento informático</w:t>
            </w:r>
          </w:p>
        </w:tc>
        <w:tc>
          <w:tcPr>
            <w:tcW w:w="1559" w:type="dxa"/>
            <w:tcBorders>
              <w:top w:val="nil"/>
              <w:left w:val="nil"/>
              <w:bottom w:val="single" w:sz="8" w:space="0" w:color="auto"/>
              <w:right w:val="nil"/>
            </w:tcBorders>
            <w:shd w:val="clear" w:color="auto" w:fill="auto"/>
            <w:noWrap/>
            <w:vAlign w:val="center"/>
            <w:hideMark/>
          </w:tcPr>
          <w:p w14:paraId="2AF6E94C"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26.000,00</w:t>
            </w:r>
          </w:p>
        </w:tc>
      </w:tr>
      <w:tr w:rsidR="00487362" w:rsidRPr="00E87BC9" w14:paraId="6043A037"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671BBB9F"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Equipamiento de redes</w:t>
            </w:r>
          </w:p>
        </w:tc>
        <w:tc>
          <w:tcPr>
            <w:tcW w:w="1559" w:type="dxa"/>
            <w:tcBorders>
              <w:top w:val="nil"/>
              <w:left w:val="nil"/>
              <w:bottom w:val="single" w:sz="8" w:space="0" w:color="auto"/>
              <w:right w:val="nil"/>
            </w:tcBorders>
            <w:shd w:val="clear" w:color="auto" w:fill="auto"/>
            <w:noWrap/>
            <w:vAlign w:val="center"/>
            <w:hideMark/>
          </w:tcPr>
          <w:p w14:paraId="2DF9B93A"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23.200,00</w:t>
            </w:r>
          </w:p>
        </w:tc>
      </w:tr>
      <w:tr w:rsidR="00487362" w:rsidRPr="00E87BC9" w14:paraId="4B607D61"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1D663606"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Servidores</w:t>
            </w:r>
          </w:p>
        </w:tc>
        <w:tc>
          <w:tcPr>
            <w:tcW w:w="1559" w:type="dxa"/>
            <w:tcBorders>
              <w:top w:val="nil"/>
              <w:left w:val="nil"/>
              <w:bottom w:val="single" w:sz="8" w:space="0" w:color="auto"/>
              <w:right w:val="nil"/>
            </w:tcBorders>
            <w:shd w:val="clear" w:color="auto" w:fill="auto"/>
            <w:noWrap/>
            <w:vAlign w:val="center"/>
            <w:hideMark/>
          </w:tcPr>
          <w:p w14:paraId="75334810"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25.000,00</w:t>
            </w:r>
          </w:p>
        </w:tc>
      </w:tr>
      <w:tr w:rsidR="00487362" w:rsidRPr="00E87BC9" w14:paraId="0D67FE8F"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4FB6DDE9"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EQUIPOS DE COMUNICACIÓN</w:t>
            </w:r>
          </w:p>
        </w:tc>
        <w:tc>
          <w:tcPr>
            <w:tcW w:w="1559" w:type="dxa"/>
            <w:tcBorders>
              <w:top w:val="nil"/>
              <w:left w:val="nil"/>
              <w:bottom w:val="single" w:sz="8" w:space="0" w:color="auto"/>
              <w:right w:val="single" w:sz="8" w:space="0" w:color="auto"/>
            </w:tcBorders>
            <w:shd w:val="clear" w:color="000000" w:fill="DBE5F1"/>
            <w:noWrap/>
            <w:vAlign w:val="center"/>
            <w:hideMark/>
          </w:tcPr>
          <w:p w14:paraId="356C0E29"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160.900,00</w:t>
            </w:r>
          </w:p>
        </w:tc>
      </w:tr>
      <w:tr w:rsidR="00487362" w:rsidRPr="00E87BC9" w14:paraId="001FC742"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699D683F"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Suministro, licenciamiento y mejora red de comunicación</w:t>
            </w:r>
          </w:p>
        </w:tc>
        <w:tc>
          <w:tcPr>
            <w:tcW w:w="1559" w:type="dxa"/>
            <w:tcBorders>
              <w:top w:val="nil"/>
              <w:left w:val="nil"/>
              <w:bottom w:val="single" w:sz="8" w:space="0" w:color="auto"/>
              <w:right w:val="nil"/>
            </w:tcBorders>
            <w:shd w:val="clear" w:color="auto" w:fill="auto"/>
            <w:noWrap/>
            <w:vAlign w:val="center"/>
            <w:hideMark/>
          </w:tcPr>
          <w:p w14:paraId="56B530D9"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160.000,00</w:t>
            </w:r>
          </w:p>
        </w:tc>
      </w:tr>
      <w:tr w:rsidR="00487362" w:rsidRPr="00E87BC9" w14:paraId="5183AF45"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5E2BDAF5"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Emisoras para formación</w:t>
            </w:r>
          </w:p>
        </w:tc>
        <w:tc>
          <w:tcPr>
            <w:tcW w:w="1559" w:type="dxa"/>
            <w:tcBorders>
              <w:top w:val="nil"/>
              <w:left w:val="nil"/>
              <w:bottom w:val="single" w:sz="8" w:space="0" w:color="auto"/>
              <w:right w:val="nil"/>
            </w:tcBorders>
            <w:shd w:val="clear" w:color="auto" w:fill="auto"/>
            <w:noWrap/>
            <w:vAlign w:val="center"/>
            <w:hideMark/>
          </w:tcPr>
          <w:p w14:paraId="537BDABF"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900,00</w:t>
            </w:r>
          </w:p>
        </w:tc>
      </w:tr>
      <w:tr w:rsidR="00487362" w:rsidRPr="00E87BC9" w14:paraId="566BCEAE"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43E7DAC2"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OTROS BIENES</w:t>
            </w:r>
          </w:p>
        </w:tc>
        <w:tc>
          <w:tcPr>
            <w:tcW w:w="1559" w:type="dxa"/>
            <w:tcBorders>
              <w:top w:val="nil"/>
              <w:left w:val="nil"/>
              <w:bottom w:val="single" w:sz="8" w:space="0" w:color="auto"/>
              <w:right w:val="single" w:sz="8" w:space="0" w:color="auto"/>
            </w:tcBorders>
            <w:shd w:val="clear" w:color="000000" w:fill="DBE5F1"/>
            <w:noWrap/>
            <w:vAlign w:val="center"/>
            <w:hideMark/>
          </w:tcPr>
          <w:p w14:paraId="30C02583"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45.000,00</w:t>
            </w:r>
          </w:p>
        </w:tc>
      </w:tr>
      <w:tr w:rsidR="00487362" w:rsidRPr="00E87BC9" w14:paraId="40506940"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00E4DCFB"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 xml:space="preserve">Equipos aire acondicionado </w:t>
            </w:r>
          </w:p>
        </w:tc>
        <w:tc>
          <w:tcPr>
            <w:tcW w:w="1559" w:type="dxa"/>
            <w:tcBorders>
              <w:top w:val="nil"/>
              <w:left w:val="nil"/>
              <w:bottom w:val="single" w:sz="8" w:space="0" w:color="auto"/>
              <w:right w:val="nil"/>
            </w:tcBorders>
            <w:shd w:val="clear" w:color="auto" w:fill="auto"/>
            <w:noWrap/>
            <w:vAlign w:val="center"/>
            <w:hideMark/>
          </w:tcPr>
          <w:p w14:paraId="66FE2EA5"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45.000,00</w:t>
            </w:r>
          </w:p>
        </w:tc>
      </w:tr>
      <w:tr w:rsidR="00487362" w:rsidRPr="00E87BC9" w14:paraId="5283CAF0"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67E2A479"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MATERIAL TECNICO OPERATIVO</w:t>
            </w:r>
          </w:p>
        </w:tc>
        <w:tc>
          <w:tcPr>
            <w:tcW w:w="1559" w:type="dxa"/>
            <w:tcBorders>
              <w:top w:val="nil"/>
              <w:left w:val="nil"/>
              <w:bottom w:val="single" w:sz="8" w:space="0" w:color="auto"/>
              <w:right w:val="single" w:sz="8" w:space="0" w:color="auto"/>
            </w:tcBorders>
            <w:shd w:val="clear" w:color="000000" w:fill="DBE5F1"/>
            <w:noWrap/>
            <w:vAlign w:val="center"/>
            <w:hideMark/>
          </w:tcPr>
          <w:p w14:paraId="7CCCA931"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184.000,00</w:t>
            </w:r>
          </w:p>
        </w:tc>
      </w:tr>
      <w:tr w:rsidR="00487362" w:rsidRPr="00E87BC9" w14:paraId="05F4643B"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250D490F"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Material hidráulico (mangueras, lanzas)</w:t>
            </w:r>
          </w:p>
        </w:tc>
        <w:tc>
          <w:tcPr>
            <w:tcW w:w="1559" w:type="dxa"/>
            <w:tcBorders>
              <w:top w:val="nil"/>
              <w:left w:val="nil"/>
              <w:bottom w:val="single" w:sz="8" w:space="0" w:color="auto"/>
              <w:right w:val="nil"/>
            </w:tcBorders>
            <w:shd w:val="clear" w:color="auto" w:fill="auto"/>
            <w:noWrap/>
            <w:vAlign w:val="center"/>
            <w:hideMark/>
          </w:tcPr>
          <w:p w14:paraId="09B87F32"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50.000,00</w:t>
            </w:r>
          </w:p>
        </w:tc>
      </w:tr>
      <w:tr w:rsidR="00487362" w:rsidRPr="00E87BC9" w14:paraId="77402CFA"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0BB5CE5B"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Drones</w:t>
            </w:r>
          </w:p>
        </w:tc>
        <w:tc>
          <w:tcPr>
            <w:tcW w:w="1559" w:type="dxa"/>
            <w:tcBorders>
              <w:top w:val="nil"/>
              <w:left w:val="nil"/>
              <w:bottom w:val="single" w:sz="8" w:space="0" w:color="auto"/>
              <w:right w:val="nil"/>
            </w:tcBorders>
            <w:shd w:val="clear" w:color="auto" w:fill="auto"/>
            <w:noWrap/>
            <w:vAlign w:val="center"/>
            <w:hideMark/>
          </w:tcPr>
          <w:p w14:paraId="58BA1EE5"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108.000,00</w:t>
            </w:r>
          </w:p>
        </w:tc>
      </w:tr>
      <w:tr w:rsidR="00487362" w:rsidRPr="00E87BC9" w14:paraId="6F878C55"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740A6156"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Cojines neumáticos</w:t>
            </w:r>
          </w:p>
        </w:tc>
        <w:tc>
          <w:tcPr>
            <w:tcW w:w="1559" w:type="dxa"/>
            <w:tcBorders>
              <w:top w:val="nil"/>
              <w:left w:val="nil"/>
              <w:bottom w:val="single" w:sz="8" w:space="0" w:color="auto"/>
              <w:right w:val="nil"/>
            </w:tcBorders>
            <w:shd w:val="clear" w:color="auto" w:fill="auto"/>
            <w:noWrap/>
            <w:vAlign w:val="center"/>
            <w:hideMark/>
          </w:tcPr>
          <w:p w14:paraId="4D451D72"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15.000,00</w:t>
            </w:r>
          </w:p>
        </w:tc>
      </w:tr>
      <w:tr w:rsidR="00487362" w:rsidRPr="00E87BC9" w14:paraId="774212F3"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3E1F84A0"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Simuladores para formación: vehículo, soporte vital básico y apertura de puertas</w:t>
            </w:r>
          </w:p>
        </w:tc>
        <w:tc>
          <w:tcPr>
            <w:tcW w:w="1559" w:type="dxa"/>
            <w:tcBorders>
              <w:top w:val="nil"/>
              <w:left w:val="nil"/>
              <w:bottom w:val="single" w:sz="8" w:space="0" w:color="auto"/>
              <w:right w:val="nil"/>
            </w:tcBorders>
            <w:shd w:val="clear" w:color="auto" w:fill="auto"/>
            <w:noWrap/>
            <w:vAlign w:val="center"/>
            <w:hideMark/>
          </w:tcPr>
          <w:p w14:paraId="5A2FCFC1"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11.000,00</w:t>
            </w:r>
          </w:p>
        </w:tc>
      </w:tr>
      <w:tr w:rsidR="00487362" w:rsidRPr="00E87BC9" w14:paraId="4E854E99"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3CDDED70"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REPOSICIÓN EDIFICIOS Y OTRAS CONSTRUCCIONES</w:t>
            </w:r>
          </w:p>
        </w:tc>
        <w:tc>
          <w:tcPr>
            <w:tcW w:w="1559" w:type="dxa"/>
            <w:tcBorders>
              <w:top w:val="nil"/>
              <w:left w:val="nil"/>
              <w:bottom w:val="single" w:sz="8" w:space="0" w:color="auto"/>
              <w:right w:val="single" w:sz="8" w:space="0" w:color="auto"/>
            </w:tcBorders>
            <w:shd w:val="clear" w:color="000000" w:fill="DBE5F1"/>
            <w:noWrap/>
            <w:vAlign w:val="center"/>
            <w:hideMark/>
          </w:tcPr>
          <w:p w14:paraId="28EAB097"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285.000,00</w:t>
            </w:r>
          </w:p>
        </w:tc>
      </w:tr>
      <w:tr w:rsidR="00487362" w:rsidRPr="00E87BC9" w14:paraId="0E0FE531"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6B2510D5"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Cambio puertas ascensor ala sur PB Santa Cruz</w:t>
            </w:r>
          </w:p>
        </w:tc>
        <w:tc>
          <w:tcPr>
            <w:tcW w:w="1559" w:type="dxa"/>
            <w:tcBorders>
              <w:top w:val="nil"/>
              <w:left w:val="nil"/>
              <w:bottom w:val="single" w:sz="8" w:space="0" w:color="auto"/>
              <w:right w:val="nil"/>
            </w:tcBorders>
            <w:shd w:val="clear" w:color="auto" w:fill="auto"/>
            <w:noWrap/>
            <w:vAlign w:val="center"/>
            <w:hideMark/>
          </w:tcPr>
          <w:p w14:paraId="08039FA3"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10.000,00</w:t>
            </w:r>
          </w:p>
        </w:tc>
      </w:tr>
      <w:tr w:rsidR="00487362" w:rsidRPr="00E87BC9" w14:paraId="3F383A1D"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12D84C64"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Montacargas y adecuación de oficinas y almacenes de logística PB Santa Cruz</w:t>
            </w:r>
          </w:p>
        </w:tc>
        <w:tc>
          <w:tcPr>
            <w:tcW w:w="1559" w:type="dxa"/>
            <w:tcBorders>
              <w:top w:val="nil"/>
              <w:left w:val="nil"/>
              <w:bottom w:val="single" w:sz="8" w:space="0" w:color="auto"/>
              <w:right w:val="nil"/>
            </w:tcBorders>
            <w:shd w:val="clear" w:color="auto" w:fill="auto"/>
            <w:noWrap/>
            <w:vAlign w:val="center"/>
            <w:hideMark/>
          </w:tcPr>
          <w:p w14:paraId="0EF745AA"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75.000,00</w:t>
            </w:r>
          </w:p>
        </w:tc>
      </w:tr>
      <w:tr w:rsidR="00487362" w:rsidRPr="00E87BC9" w14:paraId="68F417C4"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6B1A3C94"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Techo gimnasio PB Orotava</w:t>
            </w:r>
          </w:p>
        </w:tc>
        <w:tc>
          <w:tcPr>
            <w:tcW w:w="1559" w:type="dxa"/>
            <w:tcBorders>
              <w:top w:val="nil"/>
              <w:left w:val="nil"/>
              <w:bottom w:val="single" w:sz="8" w:space="0" w:color="auto"/>
              <w:right w:val="nil"/>
            </w:tcBorders>
            <w:shd w:val="clear" w:color="auto" w:fill="auto"/>
            <w:noWrap/>
            <w:vAlign w:val="center"/>
            <w:hideMark/>
          </w:tcPr>
          <w:p w14:paraId="6892F5FF"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20.000,00</w:t>
            </w:r>
          </w:p>
        </w:tc>
      </w:tr>
      <w:tr w:rsidR="00487362" w:rsidRPr="00E87BC9" w14:paraId="45313417"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7740BC20"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Reforma instalación eléctrica PB Orotava</w:t>
            </w:r>
          </w:p>
        </w:tc>
        <w:tc>
          <w:tcPr>
            <w:tcW w:w="1559" w:type="dxa"/>
            <w:tcBorders>
              <w:top w:val="nil"/>
              <w:left w:val="nil"/>
              <w:bottom w:val="single" w:sz="8" w:space="0" w:color="auto"/>
              <w:right w:val="nil"/>
            </w:tcBorders>
            <w:shd w:val="clear" w:color="auto" w:fill="auto"/>
            <w:noWrap/>
            <w:vAlign w:val="center"/>
            <w:hideMark/>
          </w:tcPr>
          <w:p w14:paraId="097E167B"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15.000,00</w:t>
            </w:r>
          </w:p>
        </w:tc>
      </w:tr>
      <w:tr w:rsidR="00487362" w:rsidRPr="00E87BC9" w14:paraId="6C593A56"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0BA8342B"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Rehabil</w:t>
            </w:r>
            <w:r>
              <w:rPr>
                <w:rFonts w:ascii="Arial" w:hAnsi="Arial" w:cs="Arial"/>
                <w:color w:val="000000"/>
                <w:sz w:val="18"/>
                <w:szCs w:val="18"/>
              </w:rPr>
              <w:t>it</w:t>
            </w:r>
            <w:r w:rsidRPr="00E87BC9">
              <w:rPr>
                <w:rFonts w:ascii="Arial" w:hAnsi="Arial" w:cs="Arial"/>
                <w:color w:val="000000"/>
                <w:sz w:val="18"/>
                <w:szCs w:val="18"/>
              </w:rPr>
              <w:t>ación estancia zona alta PB Orotava</w:t>
            </w:r>
          </w:p>
        </w:tc>
        <w:tc>
          <w:tcPr>
            <w:tcW w:w="1559" w:type="dxa"/>
            <w:tcBorders>
              <w:top w:val="nil"/>
              <w:left w:val="nil"/>
              <w:bottom w:val="single" w:sz="8" w:space="0" w:color="auto"/>
              <w:right w:val="nil"/>
            </w:tcBorders>
            <w:shd w:val="clear" w:color="auto" w:fill="auto"/>
            <w:noWrap/>
            <w:vAlign w:val="center"/>
            <w:hideMark/>
          </w:tcPr>
          <w:p w14:paraId="4EE618FB"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100.000,00</w:t>
            </w:r>
          </w:p>
        </w:tc>
      </w:tr>
      <w:tr w:rsidR="00487362" w:rsidRPr="00E87BC9" w14:paraId="1CA00535"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361FD753"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Impermeabilización pozo PB San Miguel</w:t>
            </w:r>
          </w:p>
        </w:tc>
        <w:tc>
          <w:tcPr>
            <w:tcW w:w="1559" w:type="dxa"/>
            <w:tcBorders>
              <w:top w:val="nil"/>
              <w:left w:val="nil"/>
              <w:bottom w:val="single" w:sz="8" w:space="0" w:color="auto"/>
              <w:right w:val="nil"/>
            </w:tcBorders>
            <w:shd w:val="clear" w:color="auto" w:fill="auto"/>
            <w:noWrap/>
            <w:vAlign w:val="center"/>
            <w:hideMark/>
          </w:tcPr>
          <w:p w14:paraId="7E945C25"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10.000,00</w:t>
            </w:r>
          </w:p>
        </w:tc>
      </w:tr>
      <w:tr w:rsidR="00487362" w:rsidRPr="00E87BC9" w14:paraId="0CB9AE87"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41F48F35"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Reforma baño planta baja PB San Miguel</w:t>
            </w:r>
          </w:p>
        </w:tc>
        <w:tc>
          <w:tcPr>
            <w:tcW w:w="1559" w:type="dxa"/>
            <w:tcBorders>
              <w:top w:val="nil"/>
              <w:left w:val="nil"/>
              <w:bottom w:val="single" w:sz="8" w:space="0" w:color="auto"/>
              <w:right w:val="nil"/>
            </w:tcBorders>
            <w:shd w:val="clear" w:color="auto" w:fill="auto"/>
            <w:noWrap/>
            <w:vAlign w:val="center"/>
            <w:hideMark/>
          </w:tcPr>
          <w:p w14:paraId="5E26ACA2"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20.000,00</w:t>
            </w:r>
          </w:p>
        </w:tc>
      </w:tr>
      <w:tr w:rsidR="00487362" w:rsidRPr="00E87BC9" w14:paraId="1B0D2351"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4A692531"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Reparación y sustitución de la cubierta de la cochera PB San Miguel</w:t>
            </w:r>
          </w:p>
        </w:tc>
        <w:tc>
          <w:tcPr>
            <w:tcW w:w="1559" w:type="dxa"/>
            <w:tcBorders>
              <w:top w:val="nil"/>
              <w:left w:val="nil"/>
              <w:bottom w:val="single" w:sz="8" w:space="0" w:color="auto"/>
              <w:right w:val="nil"/>
            </w:tcBorders>
            <w:shd w:val="clear" w:color="auto" w:fill="auto"/>
            <w:noWrap/>
            <w:vAlign w:val="center"/>
            <w:hideMark/>
          </w:tcPr>
          <w:p w14:paraId="3EC4B2D3"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30.000,00</w:t>
            </w:r>
          </w:p>
        </w:tc>
      </w:tr>
      <w:tr w:rsidR="00487362" w:rsidRPr="00E87BC9" w14:paraId="1A82CA4B"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6210AC05"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Reparación de arquetas e imbornales PB Icod</w:t>
            </w:r>
          </w:p>
        </w:tc>
        <w:tc>
          <w:tcPr>
            <w:tcW w:w="1559" w:type="dxa"/>
            <w:tcBorders>
              <w:top w:val="nil"/>
              <w:left w:val="nil"/>
              <w:bottom w:val="single" w:sz="8" w:space="0" w:color="auto"/>
              <w:right w:val="nil"/>
            </w:tcBorders>
            <w:shd w:val="clear" w:color="auto" w:fill="auto"/>
            <w:noWrap/>
            <w:vAlign w:val="center"/>
            <w:hideMark/>
          </w:tcPr>
          <w:p w14:paraId="34A4349A"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5.000,00</w:t>
            </w:r>
          </w:p>
        </w:tc>
      </w:tr>
      <w:tr w:rsidR="00487362" w:rsidRPr="00E87BC9" w14:paraId="197C0841"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26976AA0" w14:textId="77777777" w:rsidR="00487362" w:rsidRPr="00E87BC9" w:rsidRDefault="00487362" w:rsidP="003B32B5">
            <w:pPr>
              <w:autoSpaceDE/>
              <w:autoSpaceDN/>
              <w:jc w:val="center"/>
              <w:rPr>
                <w:rFonts w:ascii="Arial" w:hAnsi="Arial" w:cs="Arial"/>
                <w:b/>
                <w:bCs/>
                <w:color w:val="000000"/>
              </w:rPr>
            </w:pPr>
            <w:r w:rsidRPr="00E87BC9">
              <w:rPr>
                <w:rFonts w:ascii="Arial" w:hAnsi="Arial" w:cs="Arial"/>
                <w:b/>
                <w:bCs/>
              </w:rPr>
              <w:t>PROGRAMAS INFORMÁTICOS</w:t>
            </w:r>
          </w:p>
        </w:tc>
        <w:tc>
          <w:tcPr>
            <w:tcW w:w="1559" w:type="dxa"/>
            <w:tcBorders>
              <w:top w:val="nil"/>
              <w:left w:val="nil"/>
              <w:bottom w:val="single" w:sz="8" w:space="0" w:color="auto"/>
              <w:right w:val="single" w:sz="8" w:space="0" w:color="auto"/>
            </w:tcBorders>
            <w:shd w:val="clear" w:color="000000" w:fill="DBE5F1"/>
            <w:noWrap/>
            <w:vAlign w:val="center"/>
            <w:hideMark/>
          </w:tcPr>
          <w:p w14:paraId="19E24BA0"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12.600,00</w:t>
            </w:r>
          </w:p>
        </w:tc>
      </w:tr>
      <w:tr w:rsidR="00487362" w:rsidRPr="00E87BC9" w14:paraId="225EC56E"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465551E5" w14:textId="77777777" w:rsidR="00487362" w:rsidRPr="00E87BC9" w:rsidRDefault="00487362" w:rsidP="003B32B5">
            <w:pPr>
              <w:autoSpaceDE/>
              <w:autoSpaceDN/>
              <w:ind w:firstLineChars="100" w:firstLine="180"/>
              <w:rPr>
                <w:rFonts w:ascii="Arial" w:hAnsi="Arial" w:cs="Arial"/>
                <w:color w:val="000000"/>
                <w:sz w:val="18"/>
                <w:szCs w:val="18"/>
              </w:rPr>
            </w:pPr>
            <w:r w:rsidRPr="00E87BC9">
              <w:rPr>
                <w:rFonts w:ascii="Arial" w:hAnsi="Arial" w:cs="Arial"/>
                <w:color w:val="000000"/>
                <w:sz w:val="18"/>
                <w:szCs w:val="18"/>
              </w:rPr>
              <w:t>Plataforma para formación y divulgación y licencia</w:t>
            </w:r>
          </w:p>
        </w:tc>
        <w:tc>
          <w:tcPr>
            <w:tcW w:w="1559" w:type="dxa"/>
            <w:tcBorders>
              <w:top w:val="nil"/>
              <w:left w:val="nil"/>
              <w:bottom w:val="single" w:sz="8" w:space="0" w:color="auto"/>
              <w:right w:val="nil"/>
            </w:tcBorders>
            <w:shd w:val="clear" w:color="auto" w:fill="auto"/>
            <w:noWrap/>
            <w:vAlign w:val="center"/>
            <w:hideMark/>
          </w:tcPr>
          <w:p w14:paraId="5233A571" w14:textId="77777777" w:rsidR="00487362" w:rsidRPr="00E87BC9" w:rsidRDefault="00487362" w:rsidP="003B32B5">
            <w:pPr>
              <w:autoSpaceDE/>
              <w:autoSpaceDN/>
              <w:jc w:val="right"/>
              <w:rPr>
                <w:rFonts w:ascii="Arial" w:hAnsi="Arial" w:cs="Arial"/>
                <w:color w:val="000000"/>
                <w:sz w:val="18"/>
                <w:szCs w:val="18"/>
              </w:rPr>
            </w:pPr>
            <w:r w:rsidRPr="00E87BC9">
              <w:rPr>
                <w:rFonts w:ascii="Arial" w:hAnsi="Arial" w:cs="Arial"/>
                <w:color w:val="000000"/>
                <w:sz w:val="18"/>
                <w:szCs w:val="18"/>
              </w:rPr>
              <w:t>12.600,00</w:t>
            </w:r>
          </w:p>
        </w:tc>
      </w:tr>
      <w:tr w:rsidR="00487362" w:rsidRPr="00E87BC9" w14:paraId="66153C47" w14:textId="77777777" w:rsidTr="003B32B5">
        <w:trPr>
          <w:trHeight w:val="315"/>
        </w:trPr>
        <w:tc>
          <w:tcPr>
            <w:tcW w:w="6946" w:type="dxa"/>
            <w:tcBorders>
              <w:top w:val="nil"/>
              <w:left w:val="nil"/>
              <w:bottom w:val="single" w:sz="8" w:space="0" w:color="auto"/>
              <w:right w:val="nil"/>
            </w:tcBorders>
            <w:shd w:val="clear" w:color="auto" w:fill="auto"/>
            <w:noWrap/>
            <w:vAlign w:val="center"/>
            <w:hideMark/>
          </w:tcPr>
          <w:p w14:paraId="28C8DD96" w14:textId="77777777" w:rsidR="00487362" w:rsidRPr="00E87BC9" w:rsidRDefault="00487362" w:rsidP="003B32B5">
            <w:pPr>
              <w:autoSpaceDE/>
              <w:autoSpaceDN/>
              <w:rPr>
                <w:rFonts w:ascii="Arial" w:hAnsi="Arial" w:cs="Arial"/>
                <w:color w:val="000000"/>
              </w:rPr>
            </w:pPr>
            <w:r w:rsidRPr="00E87BC9">
              <w:rPr>
                <w:rFonts w:ascii="Arial" w:hAnsi="Arial" w:cs="Arial"/>
                <w:color w:val="000000"/>
              </w:rPr>
              <w:t> </w:t>
            </w:r>
          </w:p>
        </w:tc>
        <w:tc>
          <w:tcPr>
            <w:tcW w:w="1559" w:type="dxa"/>
            <w:tcBorders>
              <w:top w:val="nil"/>
              <w:left w:val="nil"/>
              <w:bottom w:val="single" w:sz="8" w:space="0" w:color="auto"/>
              <w:right w:val="nil"/>
            </w:tcBorders>
            <w:shd w:val="clear" w:color="auto" w:fill="auto"/>
            <w:noWrap/>
            <w:vAlign w:val="center"/>
            <w:hideMark/>
          </w:tcPr>
          <w:p w14:paraId="3CE9880D" w14:textId="77777777" w:rsidR="00487362" w:rsidRPr="00E87BC9" w:rsidRDefault="00487362" w:rsidP="003B32B5">
            <w:pPr>
              <w:autoSpaceDE/>
              <w:autoSpaceDN/>
              <w:rPr>
                <w:rFonts w:ascii="Arial" w:hAnsi="Arial" w:cs="Arial"/>
                <w:color w:val="000000"/>
              </w:rPr>
            </w:pPr>
            <w:r w:rsidRPr="00E87BC9">
              <w:rPr>
                <w:rFonts w:ascii="Arial" w:hAnsi="Arial" w:cs="Arial"/>
                <w:color w:val="000000"/>
              </w:rPr>
              <w:t> </w:t>
            </w:r>
          </w:p>
        </w:tc>
      </w:tr>
      <w:tr w:rsidR="00487362" w:rsidRPr="00E87BC9" w14:paraId="4C0C074C" w14:textId="77777777" w:rsidTr="003B32B5">
        <w:trPr>
          <w:trHeight w:val="315"/>
        </w:trPr>
        <w:tc>
          <w:tcPr>
            <w:tcW w:w="6946" w:type="dxa"/>
            <w:tcBorders>
              <w:top w:val="nil"/>
              <w:left w:val="single" w:sz="8" w:space="0" w:color="auto"/>
              <w:bottom w:val="single" w:sz="8" w:space="0" w:color="auto"/>
              <w:right w:val="nil"/>
            </w:tcBorders>
            <w:shd w:val="clear" w:color="000000" w:fill="DBE5F1"/>
            <w:noWrap/>
            <w:vAlign w:val="center"/>
            <w:hideMark/>
          </w:tcPr>
          <w:p w14:paraId="57B65CAA" w14:textId="77777777" w:rsidR="00487362" w:rsidRPr="00E87BC9" w:rsidRDefault="00487362" w:rsidP="003B32B5">
            <w:pPr>
              <w:autoSpaceDE/>
              <w:autoSpaceDN/>
              <w:jc w:val="center"/>
              <w:rPr>
                <w:rFonts w:ascii="Arial" w:hAnsi="Arial" w:cs="Arial"/>
                <w:b/>
                <w:bCs/>
                <w:color w:val="000000"/>
              </w:rPr>
            </w:pPr>
            <w:proofErr w:type="gramStart"/>
            <w:r w:rsidRPr="00E87BC9">
              <w:rPr>
                <w:rFonts w:ascii="Arial" w:hAnsi="Arial" w:cs="Arial"/>
                <w:b/>
                <w:bCs/>
              </w:rPr>
              <w:t>TOTAL</w:t>
            </w:r>
            <w:proofErr w:type="gramEnd"/>
            <w:r w:rsidRPr="00E87BC9">
              <w:rPr>
                <w:rFonts w:ascii="Arial" w:hAnsi="Arial" w:cs="Arial"/>
                <w:b/>
                <w:bCs/>
              </w:rPr>
              <w:t xml:space="preserve"> INVERSION 2024</w:t>
            </w:r>
          </w:p>
        </w:tc>
        <w:tc>
          <w:tcPr>
            <w:tcW w:w="1559" w:type="dxa"/>
            <w:tcBorders>
              <w:top w:val="nil"/>
              <w:left w:val="nil"/>
              <w:bottom w:val="single" w:sz="8" w:space="0" w:color="auto"/>
              <w:right w:val="single" w:sz="8" w:space="0" w:color="auto"/>
            </w:tcBorders>
            <w:shd w:val="clear" w:color="000000" w:fill="DBE5F1"/>
            <w:noWrap/>
            <w:vAlign w:val="center"/>
            <w:hideMark/>
          </w:tcPr>
          <w:p w14:paraId="0A0DBCAE" w14:textId="77777777" w:rsidR="00487362" w:rsidRPr="00E87BC9" w:rsidRDefault="00487362" w:rsidP="003B32B5">
            <w:pPr>
              <w:autoSpaceDE/>
              <w:autoSpaceDN/>
              <w:jc w:val="right"/>
              <w:rPr>
                <w:rFonts w:ascii="Arial" w:hAnsi="Arial" w:cs="Arial"/>
                <w:b/>
                <w:bCs/>
                <w:color w:val="000000"/>
              </w:rPr>
            </w:pPr>
            <w:r w:rsidRPr="00E87BC9">
              <w:rPr>
                <w:rFonts w:ascii="Arial" w:hAnsi="Arial" w:cs="Arial"/>
                <w:b/>
                <w:bCs/>
              </w:rPr>
              <w:t>2.215.056,</w:t>
            </w:r>
            <w:r>
              <w:rPr>
                <w:rFonts w:ascii="Arial" w:hAnsi="Arial" w:cs="Arial"/>
                <w:b/>
                <w:bCs/>
              </w:rPr>
              <w:t>09</w:t>
            </w:r>
          </w:p>
        </w:tc>
      </w:tr>
    </w:tbl>
    <w:p w14:paraId="0480CF45" w14:textId="77777777" w:rsidR="00487362" w:rsidRPr="00F9569E" w:rsidRDefault="00487362" w:rsidP="00487362">
      <w:pPr>
        <w:spacing w:before="120" w:line="300" w:lineRule="auto"/>
        <w:ind w:firstLine="709"/>
        <w:jc w:val="both"/>
        <w:rPr>
          <w:rFonts w:ascii="Arial" w:hAnsi="Arial" w:cs="Arial"/>
          <w:bCs/>
          <w:sz w:val="22"/>
          <w:szCs w:val="22"/>
        </w:rPr>
      </w:pPr>
    </w:p>
    <w:p w14:paraId="5C9C49AE" w14:textId="77777777" w:rsidR="00487362" w:rsidRPr="007914D9" w:rsidRDefault="00487362" w:rsidP="00487362">
      <w:pPr>
        <w:spacing w:before="120" w:line="300" w:lineRule="auto"/>
        <w:ind w:firstLine="709"/>
        <w:jc w:val="both"/>
        <w:rPr>
          <w:rFonts w:ascii="Arial" w:hAnsi="Arial" w:cs="Arial"/>
          <w:bCs/>
          <w:sz w:val="22"/>
          <w:szCs w:val="22"/>
        </w:rPr>
      </w:pPr>
      <w:r w:rsidRPr="007914D9">
        <w:rPr>
          <w:rFonts w:ascii="Arial" w:hAnsi="Arial" w:cs="Arial"/>
          <w:bCs/>
          <w:sz w:val="22"/>
          <w:szCs w:val="22"/>
        </w:rPr>
        <w:lastRenderedPageBreak/>
        <w:t xml:space="preserve">El </w:t>
      </w:r>
      <w:r w:rsidRPr="007914D9">
        <w:rPr>
          <w:rFonts w:ascii="Arial" w:hAnsi="Arial" w:cs="Arial"/>
          <w:b/>
          <w:bCs/>
          <w:sz w:val="22"/>
          <w:szCs w:val="22"/>
          <w:u w:val="single"/>
        </w:rPr>
        <w:t>Capítulo VII</w:t>
      </w:r>
      <w:r w:rsidRPr="007914D9">
        <w:rPr>
          <w:rFonts w:ascii="Arial" w:hAnsi="Arial" w:cs="Arial"/>
          <w:bCs/>
          <w:sz w:val="22"/>
          <w:szCs w:val="22"/>
        </w:rPr>
        <w:t xml:space="preserve"> recoge únicamente por las subvenciones nominativas de capital a las Asociaciones de Bomberos Voluntarios, </w:t>
      </w:r>
      <w:r>
        <w:rPr>
          <w:rFonts w:ascii="Arial" w:hAnsi="Arial" w:cs="Arial"/>
          <w:bCs/>
          <w:sz w:val="22"/>
          <w:szCs w:val="22"/>
        </w:rPr>
        <w:t xml:space="preserve">por importe de 119.573,00 euros, </w:t>
      </w:r>
      <w:r w:rsidRPr="007914D9">
        <w:rPr>
          <w:rFonts w:ascii="Arial" w:hAnsi="Arial" w:cs="Arial"/>
          <w:bCs/>
          <w:sz w:val="22"/>
          <w:szCs w:val="22"/>
        </w:rPr>
        <w:t xml:space="preserve">detalladas en el Anexo I. Este capítulo experimenta una disminución de </w:t>
      </w:r>
      <w:r>
        <w:rPr>
          <w:rFonts w:ascii="Arial" w:hAnsi="Arial" w:cs="Arial"/>
          <w:bCs/>
          <w:sz w:val="22"/>
          <w:szCs w:val="22"/>
        </w:rPr>
        <w:t>13.200</w:t>
      </w:r>
      <w:r w:rsidRPr="007914D9">
        <w:rPr>
          <w:rFonts w:ascii="Arial" w:hAnsi="Arial" w:cs="Arial"/>
          <w:bCs/>
          <w:sz w:val="22"/>
          <w:szCs w:val="22"/>
        </w:rPr>
        <w:t xml:space="preserve">,00 euros con respecto al ejercicio anterior, que es compensado con el incremento del capítulo IV. </w:t>
      </w:r>
    </w:p>
    <w:p w14:paraId="0700015D" w14:textId="77777777" w:rsidR="00487362" w:rsidRDefault="00487362" w:rsidP="00487362">
      <w:pPr>
        <w:spacing w:before="120" w:line="300" w:lineRule="auto"/>
        <w:ind w:firstLine="709"/>
        <w:jc w:val="both"/>
        <w:rPr>
          <w:rFonts w:ascii="Arial" w:hAnsi="Arial" w:cs="Arial"/>
          <w:bCs/>
          <w:sz w:val="22"/>
          <w:szCs w:val="22"/>
        </w:rPr>
      </w:pPr>
    </w:p>
    <w:p w14:paraId="5034804C" w14:textId="2FD48506" w:rsidR="00487362" w:rsidRDefault="00487362" w:rsidP="00487362">
      <w:pPr>
        <w:spacing w:before="120" w:line="300" w:lineRule="auto"/>
        <w:ind w:firstLine="709"/>
        <w:jc w:val="both"/>
        <w:rPr>
          <w:rFonts w:ascii="Arial" w:hAnsi="Arial" w:cs="Arial"/>
          <w:bCs/>
          <w:sz w:val="22"/>
          <w:szCs w:val="22"/>
        </w:rPr>
      </w:pPr>
      <w:proofErr w:type="gramStart"/>
      <w:r w:rsidRPr="0085610D">
        <w:rPr>
          <w:rFonts w:ascii="Arial" w:hAnsi="Arial" w:cs="Arial"/>
          <w:bCs/>
          <w:sz w:val="22"/>
          <w:szCs w:val="22"/>
        </w:rPr>
        <w:t>Y</w:t>
      </w:r>
      <w:proofErr w:type="gramEnd"/>
      <w:r w:rsidRPr="0085610D">
        <w:rPr>
          <w:rFonts w:ascii="Arial" w:hAnsi="Arial" w:cs="Arial"/>
          <w:bCs/>
          <w:sz w:val="22"/>
          <w:szCs w:val="22"/>
        </w:rPr>
        <w:t xml:space="preserve"> por último, el </w:t>
      </w:r>
      <w:r w:rsidRPr="0085610D">
        <w:rPr>
          <w:rFonts w:ascii="Arial" w:hAnsi="Arial" w:cs="Arial"/>
          <w:b/>
          <w:bCs/>
          <w:sz w:val="22"/>
          <w:szCs w:val="22"/>
          <w:u w:val="single"/>
        </w:rPr>
        <w:t>Capítulo VIII</w:t>
      </w:r>
      <w:r w:rsidRPr="0085610D">
        <w:rPr>
          <w:rFonts w:ascii="Arial" w:hAnsi="Arial" w:cs="Arial"/>
          <w:bCs/>
          <w:sz w:val="22"/>
          <w:szCs w:val="22"/>
        </w:rPr>
        <w:t xml:space="preserve"> solo</w:t>
      </w:r>
      <w:r w:rsidRPr="00F9569E">
        <w:rPr>
          <w:rFonts w:ascii="Arial" w:hAnsi="Arial" w:cs="Arial"/>
          <w:bCs/>
          <w:sz w:val="22"/>
          <w:szCs w:val="22"/>
        </w:rPr>
        <w:t xml:space="preserve"> </w:t>
      </w:r>
      <w:r>
        <w:rPr>
          <w:rFonts w:ascii="Arial" w:hAnsi="Arial" w:cs="Arial"/>
          <w:bCs/>
          <w:sz w:val="22"/>
          <w:szCs w:val="22"/>
        </w:rPr>
        <w:t>contiene</w:t>
      </w:r>
      <w:r w:rsidRPr="00F9569E">
        <w:rPr>
          <w:rFonts w:ascii="Arial" w:hAnsi="Arial" w:cs="Arial"/>
          <w:bCs/>
          <w:sz w:val="22"/>
          <w:szCs w:val="22"/>
        </w:rPr>
        <w:t xml:space="preserve"> los anticipos </w:t>
      </w:r>
      <w:r>
        <w:rPr>
          <w:rFonts w:ascii="Arial" w:hAnsi="Arial" w:cs="Arial"/>
          <w:bCs/>
          <w:sz w:val="22"/>
          <w:szCs w:val="22"/>
        </w:rPr>
        <w:t xml:space="preserve">reintegrables </w:t>
      </w:r>
      <w:r w:rsidRPr="00F9569E">
        <w:rPr>
          <w:rFonts w:ascii="Arial" w:hAnsi="Arial" w:cs="Arial"/>
          <w:bCs/>
          <w:sz w:val="22"/>
          <w:szCs w:val="22"/>
        </w:rPr>
        <w:t xml:space="preserve">al personal al que tienen derecho los trabajadores del Consorcio, y que se </w:t>
      </w:r>
      <w:r>
        <w:rPr>
          <w:rFonts w:ascii="Arial" w:hAnsi="Arial" w:cs="Arial"/>
          <w:bCs/>
          <w:sz w:val="22"/>
          <w:szCs w:val="22"/>
        </w:rPr>
        <w:t>recogen</w:t>
      </w:r>
      <w:r w:rsidRPr="00F9569E">
        <w:rPr>
          <w:rFonts w:ascii="Arial" w:hAnsi="Arial" w:cs="Arial"/>
          <w:bCs/>
          <w:sz w:val="22"/>
          <w:szCs w:val="22"/>
        </w:rPr>
        <w:t xml:space="preserve"> en el </w:t>
      </w:r>
      <w:r>
        <w:rPr>
          <w:rFonts w:ascii="Arial" w:hAnsi="Arial" w:cs="Arial"/>
          <w:bCs/>
          <w:sz w:val="22"/>
          <w:szCs w:val="22"/>
        </w:rPr>
        <w:t>A</w:t>
      </w:r>
      <w:r w:rsidRPr="00F9569E">
        <w:rPr>
          <w:rFonts w:ascii="Arial" w:hAnsi="Arial" w:cs="Arial"/>
          <w:bCs/>
          <w:sz w:val="22"/>
          <w:szCs w:val="22"/>
        </w:rPr>
        <w:t xml:space="preserve">cuerdo del personal funcionario y el </w:t>
      </w:r>
      <w:r>
        <w:rPr>
          <w:rFonts w:ascii="Arial" w:hAnsi="Arial" w:cs="Arial"/>
          <w:bCs/>
          <w:sz w:val="22"/>
          <w:szCs w:val="22"/>
        </w:rPr>
        <w:t>C</w:t>
      </w:r>
      <w:r w:rsidRPr="00F9569E">
        <w:rPr>
          <w:rFonts w:ascii="Arial" w:hAnsi="Arial" w:cs="Arial"/>
          <w:bCs/>
          <w:sz w:val="22"/>
          <w:szCs w:val="22"/>
        </w:rPr>
        <w:t>onvenio del personal laboral</w:t>
      </w:r>
      <w:r>
        <w:rPr>
          <w:rFonts w:ascii="Arial" w:hAnsi="Arial" w:cs="Arial"/>
          <w:bCs/>
          <w:sz w:val="22"/>
          <w:szCs w:val="22"/>
        </w:rPr>
        <w:t>, y que no experimenta variación con respecto al ejercicio 2023.</w:t>
      </w:r>
    </w:p>
    <w:p w14:paraId="092AC83E" w14:textId="77777777" w:rsidR="00487362" w:rsidRPr="00BB30A6" w:rsidRDefault="00487362" w:rsidP="00487362">
      <w:pPr>
        <w:spacing w:before="120" w:line="300" w:lineRule="auto"/>
        <w:ind w:firstLine="709"/>
        <w:jc w:val="both"/>
        <w:rPr>
          <w:rFonts w:ascii="Arial" w:hAnsi="Arial" w:cs="Arial"/>
          <w:color w:val="FF0000"/>
          <w:sz w:val="22"/>
          <w:szCs w:val="22"/>
          <w:highlight w:val="yellow"/>
        </w:rPr>
      </w:pPr>
    </w:p>
    <w:p w14:paraId="4950A3D3" w14:textId="77777777" w:rsidR="00487362" w:rsidRPr="009526C1" w:rsidRDefault="00487362" w:rsidP="00487362">
      <w:pPr>
        <w:spacing w:before="120" w:line="300" w:lineRule="auto"/>
        <w:ind w:firstLine="709"/>
        <w:jc w:val="both"/>
        <w:rPr>
          <w:rFonts w:ascii="Arial" w:hAnsi="Arial" w:cs="Arial"/>
          <w:sz w:val="22"/>
          <w:szCs w:val="22"/>
        </w:rPr>
      </w:pPr>
      <w:r w:rsidRPr="009526C1">
        <w:rPr>
          <w:rFonts w:ascii="Arial" w:hAnsi="Arial" w:cs="Arial"/>
          <w:sz w:val="22"/>
          <w:szCs w:val="22"/>
        </w:rPr>
        <w:t>Como establece el artículo 165.4 del RD Legislativo 2/2004, de 5 de marzo, por el que se aprueba el texto refundido de Ley Reguladora de las Haciendas Locales, respetando así mismo el principio de estabilidad presupuestaria y sostenibilidad financiera contemplado en la Ley Orgánica 2/2012, de 27 de abril, el Presupuesto de 2024 se aprueba sin déficit inicial.</w:t>
      </w:r>
    </w:p>
    <w:p w14:paraId="35A9C36C" w14:textId="77777777" w:rsidR="00487362" w:rsidRPr="00DB75F8" w:rsidRDefault="00487362" w:rsidP="00487362">
      <w:pPr>
        <w:spacing w:before="120" w:line="300" w:lineRule="auto"/>
        <w:ind w:firstLine="709"/>
        <w:jc w:val="both"/>
        <w:rPr>
          <w:rFonts w:ascii="Arial" w:hAnsi="Arial" w:cs="Arial"/>
          <w:color w:val="FF0000"/>
          <w:sz w:val="22"/>
          <w:szCs w:val="22"/>
          <w:highlight w:val="yellow"/>
        </w:rPr>
      </w:pPr>
    </w:p>
    <w:p w14:paraId="4CBAE40B" w14:textId="77777777" w:rsidR="00487362" w:rsidRPr="0023779D" w:rsidRDefault="00487362" w:rsidP="00487362">
      <w:pPr>
        <w:spacing w:before="120" w:line="300" w:lineRule="auto"/>
        <w:ind w:firstLine="709"/>
        <w:jc w:val="both"/>
        <w:rPr>
          <w:rFonts w:ascii="Arial" w:hAnsi="Arial" w:cs="Arial"/>
          <w:sz w:val="22"/>
          <w:szCs w:val="22"/>
        </w:rPr>
      </w:pPr>
      <w:r w:rsidRPr="0023779D">
        <w:rPr>
          <w:rFonts w:ascii="Arial" w:hAnsi="Arial" w:cs="Arial"/>
          <w:sz w:val="22"/>
          <w:szCs w:val="22"/>
        </w:rPr>
        <w:t>Por otra parte, la liquidación del Presupuesto del ejercicio 202</w:t>
      </w:r>
      <w:r>
        <w:rPr>
          <w:rFonts w:ascii="Arial" w:hAnsi="Arial" w:cs="Arial"/>
          <w:sz w:val="22"/>
          <w:szCs w:val="22"/>
        </w:rPr>
        <w:t>3</w:t>
      </w:r>
      <w:r w:rsidRPr="0023779D">
        <w:rPr>
          <w:rFonts w:ascii="Arial" w:hAnsi="Arial" w:cs="Arial"/>
          <w:sz w:val="22"/>
          <w:szCs w:val="22"/>
        </w:rPr>
        <w:t xml:space="preserve"> se estima arrojará un remanente de tesorería positivo, por lo que no habrá que adoptar las medidas previstas en el artículo 193 de la Ley de Haciendas Locales.</w:t>
      </w:r>
    </w:p>
    <w:p w14:paraId="38CB63B8" w14:textId="77777777" w:rsidR="00487362" w:rsidRPr="00BB30A6" w:rsidRDefault="00487362" w:rsidP="00487362">
      <w:pPr>
        <w:spacing w:before="120" w:line="300" w:lineRule="auto"/>
        <w:ind w:firstLine="709"/>
        <w:jc w:val="both"/>
        <w:rPr>
          <w:rFonts w:ascii="Arial" w:hAnsi="Arial" w:cs="Arial"/>
          <w:color w:val="FF0000"/>
          <w:sz w:val="22"/>
          <w:szCs w:val="22"/>
          <w:highlight w:val="yellow"/>
        </w:rPr>
      </w:pPr>
    </w:p>
    <w:p w14:paraId="6DBD6EFF" w14:textId="77777777" w:rsidR="00487362" w:rsidRPr="0023779D" w:rsidRDefault="00487362" w:rsidP="00487362">
      <w:pPr>
        <w:spacing w:before="120" w:line="300" w:lineRule="auto"/>
        <w:ind w:firstLine="709"/>
        <w:jc w:val="both"/>
        <w:rPr>
          <w:rFonts w:ascii="Arial" w:hAnsi="Arial" w:cs="Arial"/>
          <w:sz w:val="22"/>
          <w:szCs w:val="22"/>
        </w:rPr>
      </w:pPr>
      <w:r w:rsidRPr="0023779D">
        <w:rPr>
          <w:rFonts w:ascii="Arial" w:hAnsi="Arial" w:cs="Arial"/>
          <w:sz w:val="22"/>
          <w:szCs w:val="22"/>
        </w:rPr>
        <w:t>Se incluye en el presente Presupuesto:</w:t>
      </w:r>
    </w:p>
    <w:p w14:paraId="17580EB8" w14:textId="77777777" w:rsidR="00487362" w:rsidRPr="0023779D" w:rsidRDefault="00487362" w:rsidP="00487362">
      <w:pPr>
        <w:pStyle w:val="Prrafodelista"/>
        <w:numPr>
          <w:ilvl w:val="0"/>
          <w:numId w:val="1"/>
        </w:numPr>
        <w:spacing w:before="120" w:line="300" w:lineRule="auto"/>
        <w:jc w:val="both"/>
        <w:rPr>
          <w:rFonts w:ascii="Arial" w:hAnsi="Arial" w:cs="Arial"/>
          <w:sz w:val="22"/>
          <w:szCs w:val="22"/>
        </w:rPr>
      </w:pPr>
      <w:r w:rsidRPr="0023779D">
        <w:rPr>
          <w:rFonts w:ascii="Arial" w:hAnsi="Arial" w:cs="Arial"/>
          <w:sz w:val="22"/>
          <w:szCs w:val="22"/>
        </w:rPr>
        <w:t>Memoria explicativa de su contenido y de las principales modificaciones con respecto al vigente.</w:t>
      </w:r>
    </w:p>
    <w:p w14:paraId="283979D8" w14:textId="77777777" w:rsidR="00487362" w:rsidRPr="0023779D" w:rsidRDefault="00487362" w:rsidP="00487362">
      <w:pPr>
        <w:numPr>
          <w:ilvl w:val="0"/>
          <w:numId w:val="1"/>
        </w:numPr>
        <w:adjustRightInd w:val="0"/>
        <w:spacing w:before="120" w:line="300" w:lineRule="auto"/>
        <w:jc w:val="both"/>
        <w:rPr>
          <w:rFonts w:ascii="Arial" w:hAnsi="Arial" w:cs="Arial"/>
          <w:sz w:val="22"/>
          <w:szCs w:val="22"/>
        </w:rPr>
      </w:pPr>
      <w:r w:rsidRPr="0023779D">
        <w:rPr>
          <w:rFonts w:ascii="Arial" w:hAnsi="Arial" w:cs="Arial"/>
          <w:sz w:val="22"/>
          <w:szCs w:val="22"/>
        </w:rPr>
        <w:t>El informe económico-financiero en el que se expone las bases utilizadas para la evaluación de los ingresos, la suficiencia de los créditos para atender al cumplimiento de las obligaciones y la efectiva nivelación del Presupuesto.</w:t>
      </w:r>
    </w:p>
    <w:p w14:paraId="40041482" w14:textId="77777777" w:rsidR="00487362" w:rsidRPr="0023779D" w:rsidRDefault="00487362" w:rsidP="00487362">
      <w:pPr>
        <w:numPr>
          <w:ilvl w:val="0"/>
          <w:numId w:val="1"/>
        </w:numPr>
        <w:adjustRightInd w:val="0"/>
        <w:spacing w:before="120" w:line="300" w:lineRule="auto"/>
        <w:jc w:val="both"/>
        <w:rPr>
          <w:rFonts w:ascii="Arial" w:hAnsi="Arial" w:cs="Arial"/>
          <w:sz w:val="22"/>
          <w:szCs w:val="22"/>
        </w:rPr>
      </w:pPr>
      <w:r w:rsidRPr="0023779D">
        <w:rPr>
          <w:rFonts w:ascii="Arial" w:hAnsi="Arial" w:cs="Arial"/>
          <w:sz w:val="22"/>
          <w:szCs w:val="22"/>
        </w:rPr>
        <w:t>Un cuadro resumen del reparto por Municipios y demás miembros del Consorcio de las aportaciones a realizar.</w:t>
      </w:r>
    </w:p>
    <w:p w14:paraId="77938C2D" w14:textId="77777777" w:rsidR="00487362" w:rsidRPr="0023779D" w:rsidRDefault="00487362" w:rsidP="00487362">
      <w:pPr>
        <w:numPr>
          <w:ilvl w:val="0"/>
          <w:numId w:val="1"/>
        </w:numPr>
        <w:adjustRightInd w:val="0"/>
        <w:spacing w:before="120" w:line="300" w:lineRule="auto"/>
        <w:jc w:val="both"/>
        <w:rPr>
          <w:rFonts w:ascii="Arial" w:hAnsi="Arial" w:cs="Arial"/>
          <w:sz w:val="22"/>
          <w:szCs w:val="22"/>
        </w:rPr>
      </w:pPr>
      <w:r w:rsidRPr="0023779D">
        <w:rPr>
          <w:rFonts w:ascii="Arial" w:hAnsi="Arial" w:cs="Arial"/>
          <w:sz w:val="22"/>
          <w:szCs w:val="22"/>
        </w:rPr>
        <w:t>Los Estados de Gastos e Ingresos.</w:t>
      </w:r>
    </w:p>
    <w:p w14:paraId="72758917" w14:textId="77777777" w:rsidR="00487362" w:rsidRPr="0023779D" w:rsidRDefault="00487362" w:rsidP="00487362">
      <w:pPr>
        <w:numPr>
          <w:ilvl w:val="0"/>
          <w:numId w:val="1"/>
        </w:numPr>
        <w:adjustRightInd w:val="0"/>
        <w:spacing w:before="120" w:line="300" w:lineRule="auto"/>
        <w:jc w:val="both"/>
        <w:rPr>
          <w:rFonts w:ascii="Arial" w:hAnsi="Arial" w:cs="Arial"/>
          <w:sz w:val="22"/>
          <w:szCs w:val="22"/>
        </w:rPr>
      </w:pPr>
      <w:r w:rsidRPr="0023779D">
        <w:rPr>
          <w:rFonts w:ascii="Arial" w:hAnsi="Arial" w:cs="Arial"/>
          <w:sz w:val="22"/>
          <w:szCs w:val="22"/>
        </w:rPr>
        <w:t>Anexo de beneficios fiscales</w:t>
      </w:r>
    </w:p>
    <w:p w14:paraId="2219232E" w14:textId="77777777" w:rsidR="00487362" w:rsidRPr="0023779D" w:rsidRDefault="00487362" w:rsidP="00487362">
      <w:pPr>
        <w:numPr>
          <w:ilvl w:val="0"/>
          <w:numId w:val="1"/>
        </w:numPr>
        <w:adjustRightInd w:val="0"/>
        <w:spacing w:before="120" w:line="300" w:lineRule="auto"/>
        <w:jc w:val="both"/>
        <w:rPr>
          <w:rFonts w:ascii="Arial" w:hAnsi="Arial" w:cs="Arial"/>
          <w:sz w:val="22"/>
          <w:szCs w:val="22"/>
        </w:rPr>
      </w:pPr>
      <w:r w:rsidRPr="0023779D">
        <w:rPr>
          <w:rFonts w:ascii="Arial" w:hAnsi="Arial" w:cs="Arial"/>
          <w:sz w:val="22"/>
          <w:szCs w:val="22"/>
        </w:rPr>
        <w:t>Anexo de personal.</w:t>
      </w:r>
    </w:p>
    <w:p w14:paraId="39675DE0" w14:textId="77777777" w:rsidR="00487362" w:rsidRPr="0023779D" w:rsidRDefault="00487362" w:rsidP="00487362">
      <w:pPr>
        <w:numPr>
          <w:ilvl w:val="0"/>
          <w:numId w:val="1"/>
        </w:numPr>
        <w:adjustRightInd w:val="0"/>
        <w:spacing w:before="120" w:line="300" w:lineRule="auto"/>
        <w:jc w:val="both"/>
        <w:rPr>
          <w:rFonts w:ascii="Arial" w:hAnsi="Arial" w:cs="Arial"/>
          <w:sz w:val="22"/>
          <w:szCs w:val="22"/>
        </w:rPr>
      </w:pPr>
      <w:r w:rsidRPr="0023779D">
        <w:rPr>
          <w:rFonts w:ascii="Arial" w:hAnsi="Arial" w:cs="Arial"/>
          <w:sz w:val="22"/>
          <w:szCs w:val="22"/>
        </w:rPr>
        <w:t>Las Bases de Ejecución Presupuestaria, en las que se contiene la adaptación de las disposiciones generales en la materia de la peculiar organización y circunstancias del Consorcio, y en las que se dictan las normas necesarias para la mejor gestión de los gastos y recaudación de los recursos propios.</w:t>
      </w:r>
    </w:p>
    <w:p w14:paraId="4D891CC3" w14:textId="77777777" w:rsidR="00487362" w:rsidRPr="0023779D" w:rsidRDefault="00487362" w:rsidP="00487362">
      <w:pPr>
        <w:numPr>
          <w:ilvl w:val="0"/>
          <w:numId w:val="1"/>
        </w:numPr>
        <w:adjustRightInd w:val="0"/>
        <w:spacing w:before="120" w:line="300" w:lineRule="auto"/>
        <w:jc w:val="both"/>
        <w:rPr>
          <w:rFonts w:ascii="Arial" w:hAnsi="Arial" w:cs="Arial"/>
          <w:sz w:val="22"/>
          <w:szCs w:val="22"/>
        </w:rPr>
      </w:pPr>
      <w:r w:rsidRPr="0023779D">
        <w:rPr>
          <w:rFonts w:ascii="Arial" w:hAnsi="Arial" w:cs="Arial"/>
          <w:sz w:val="22"/>
          <w:szCs w:val="22"/>
        </w:rPr>
        <w:lastRenderedPageBreak/>
        <w:t>La liquidación del Presupuesto del ejercicio anterior y avance de la del                                                                             corriente.</w:t>
      </w:r>
    </w:p>
    <w:p w14:paraId="20213C22" w14:textId="77777777" w:rsidR="00487362" w:rsidRDefault="00487362" w:rsidP="00487362">
      <w:pPr>
        <w:adjustRightInd w:val="0"/>
        <w:spacing w:before="120" w:line="300" w:lineRule="auto"/>
        <w:ind w:left="1080"/>
        <w:jc w:val="both"/>
        <w:rPr>
          <w:rFonts w:ascii="Arial" w:hAnsi="Arial" w:cs="Arial"/>
          <w:color w:val="FF0000"/>
          <w:sz w:val="22"/>
          <w:szCs w:val="22"/>
          <w:highlight w:val="yellow"/>
        </w:rPr>
      </w:pPr>
    </w:p>
    <w:p w14:paraId="22610EDE" w14:textId="77777777" w:rsidR="00487362" w:rsidRPr="00277968" w:rsidRDefault="00487362" w:rsidP="009821AC">
      <w:pPr>
        <w:spacing w:before="120" w:line="300" w:lineRule="auto"/>
        <w:jc w:val="both"/>
        <w:rPr>
          <w:rFonts w:ascii="Arial" w:hAnsi="Arial" w:cs="Arial"/>
          <w:b/>
          <w:bCs/>
          <w:snapToGrid w:val="0"/>
          <w:sz w:val="28"/>
          <w:szCs w:val="28"/>
          <w:lang w:val="es-MX"/>
        </w:rPr>
      </w:pPr>
    </w:p>
    <w:sectPr w:rsidR="00487362" w:rsidRPr="00277968" w:rsidSect="001B39E1">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B0E27" w14:textId="77777777" w:rsidR="00AD015C" w:rsidRDefault="00AD015C" w:rsidP="001B39E1">
      <w:r>
        <w:separator/>
      </w:r>
    </w:p>
  </w:endnote>
  <w:endnote w:type="continuationSeparator" w:id="0">
    <w:p w14:paraId="21910DE7" w14:textId="77777777" w:rsidR="00AD015C" w:rsidRDefault="00AD015C" w:rsidP="001B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2B5B" w14:textId="77777777" w:rsidR="00AD015C" w:rsidRDefault="00AD015C" w:rsidP="001B39E1">
      <w:r>
        <w:separator/>
      </w:r>
    </w:p>
  </w:footnote>
  <w:footnote w:type="continuationSeparator" w:id="0">
    <w:p w14:paraId="2E6B9AE6" w14:textId="77777777" w:rsidR="00AD015C" w:rsidRDefault="00AD015C" w:rsidP="001B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C6BA" w14:textId="77777777" w:rsidR="001B39E1" w:rsidRDefault="001B39E1" w:rsidP="001B39E1">
    <w:pPr>
      <w:pStyle w:val="Encabezado"/>
      <w:jc w:val="center"/>
    </w:pPr>
    <w:r w:rsidRPr="001B39E1">
      <w:rPr>
        <w:noProof/>
      </w:rPr>
      <w:drawing>
        <wp:inline distT="0" distB="0" distL="0" distR="0" wp14:anchorId="0930768C" wp14:editId="2340A01E">
          <wp:extent cx="845185" cy="767715"/>
          <wp:effectExtent l="19050" t="0" r="0" b="0"/>
          <wp:docPr id="8" name="Imagen 8" descr="Escudo consorc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nsorcio 2"/>
                  <pic:cNvPicPr>
                    <a:picLocks noChangeAspect="1" noChangeArrowheads="1"/>
                  </pic:cNvPicPr>
                </pic:nvPicPr>
                <pic:blipFill>
                  <a:blip r:embed="rId1"/>
                  <a:srcRect/>
                  <a:stretch>
                    <a:fillRect/>
                  </a:stretch>
                </pic:blipFill>
                <pic:spPr bwMode="auto">
                  <a:xfrm>
                    <a:off x="0" y="0"/>
                    <a:ext cx="845185" cy="7677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70C5"/>
    <w:multiLevelType w:val="hybridMultilevel"/>
    <w:tmpl w:val="6290CE08"/>
    <w:lvl w:ilvl="0" w:tplc="7034F3CC">
      <w:start w:val="10"/>
      <w:numFmt w:val="bullet"/>
      <w:lvlText w:val="-"/>
      <w:lvlJc w:val="left"/>
      <w:pPr>
        <w:ind w:left="1069" w:hanging="360"/>
      </w:pPr>
      <w:rPr>
        <w:rFonts w:ascii="Calibri" w:eastAsia="Times New Roman" w:hAnsi="Calibri"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520673EF"/>
    <w:multiLevelType w:val="hybridMultilevel"/>
    <w:tmpl w:val="690E9F9C"/>
    <w:lvl w:ilvl="0" w:tplc="69382374">
      <w:start w:val="3"/>
      <w:numFmt w:val="bullet"/>
      <w:lvlText w:val="-"/>
      <w:lvlJc w:val="left"/>
      <w:pPr>
        <w:ind w:left="928" w:hanging="360"/>
      </w:pPr>
      <w:rPr>
        <w:rFonts w:ascii="Bookman Old Style" w:eastAsia="Times New Roman" w:hAnsi="Bookman Old Style" w:cs="Aria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 w15:restartNumberingAfterBreak="0">
    <w:nsid w:val="55590B9E"/>
    <w:multiLevelType w:val="hybridMultilevel"/>
    <w:tmpl w:val="D610C1C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56525308"/>
    <w:multiLevelType w:val="hybridMultilevel"/>
    <w:tmpl w:val="805EF882"/>
    <w:lvl w:ilvl="0" w:tplc="0C0A000B">
      <w:start w:val="1"/>
      <w:numFmt w:val="bullet"/>
      <w:lvlText w:val=""/>
      <w:lvlJc w:val="left"/>
      <w:pPr>
        <w:ind w:left="1790" w:hanging="360"/>
      </w:pPr>
      <w:rPr>
        <w:rFonts w:ascii="Wingdings" w:hAnsi="Wingdings" w:hint="default"/>
      </w:rPr>
    </w:lvl>
    <w:lvl w:ilvl="1" w:tplc="0C0A0003" w:tentative="1">
      <w:start w:val="1"/>
      <w:numFmt w:val="bullet"/>
      <w:lvlText w:val="o"/>
      <w:lvlJc w:val="left"/>
      <w:pPr>
        <w:ind w:left="2510" w:hanging="360"/>
      </w:pPr>
      <w:rPr>
        <w:rFonts w:ascii="Courier New" w:hAnsi="Courier New" w:cs="Courier New" w:hint="default"/>
      </w:rPr>
    </w:lvl>
    <w:lvl w:ilvl="2" w:tplc="0C0A0005" w:tentative="1">
      <w:start w:val="1"/>
      <w:numFmt w:val="bullet"/>
      <w:lvlText w:val=""/>
      <w:lvlJc w:val="left"/>
      <w:pPr>
        <w:ind w:left="3230" w:hanging="360"/>
      </w:pPr>
      <w:rPr>
        <w:rFonts w:ascii="Wingdings" w:hAnsi="Wingdings" w:hint="default"/>
      </w:rPr>
    </w:lvl>
    <w:lvl w:ilvl="3" w:tplc="0C0A0001" w:tentative="1">
      <w:start w:val="1"/>
      <w:numFmt w:val="bullet"/>
      <w:lvlText w:val=""/>
      <w:lvlJc w:val="left"/>
      <w:pPr>
        <w:ind w:left="3950" w:hanging="360"/>
      </w:pPr>
      <w:rPr>
        <w:rFonts w:ascii="Symbol" w:hAnsi="Symbol" w:hint="default"/>
      </w:rPr>
    </w:lvl>
    <w:lvl w:ilvl="4" w:tplc="0C0A0003" w:tentative="1">
      <w:start w:val="1"/>
      <w:numFmt w:val="bullet"/>
      <w:lvlText w:val="o"/>
      <w:lvlJc w:val="left"/>
      <w:pPr>
        <w:ind w:left="4670" w:hanging="360"/>
      </w:pPr>
      <w:rPr>
        <w:rFonts w:ascii="Courier New" w:hAnsi="Courier New" w:cs="Courier New" w:hint="default"/>
      </w:rPr>
    </w:lvl>
    <w:lvl w:ilvl="5" w:tplc="0C0A0005" w:tentative="1">
      <w:start w:val="1"/>
      <w:numFmt w:val="bullet"/>
      <w:lvlText w:val=""/>
      <w:lvlJc w:val="left"/>
      <w:pPr>
        <w:ind w:left="5390" w:hanging="360"/>
      </w:pPr>
      <w:rPr>
        <w:rFonts w:ascii="Wingdings" w:hAnsi="Wingdings" w:hint="default"/>
      </w:rPr>
    </w:lvl>
    <w:lvl w:ilvl="6" w:tplc="0C0A0001" w:tentative="1">
      <w:start w:val="1"/>
      <w:numFmt w:val="bullet"/>
      <w:lvlText w:val=""/>
      <w:lvlJc w:val="left"/>
      <w:pPr>
        <w:ind w:left="6110" w:hanging="360"/>
      </w:pPr>
      <w:rPr>
        <w:rFonts w:ascii="Symbol" w:hAnsi="Symbol" w:hint="default"/>
      </w:rPr>
    </w:lvl>
    <w:lvl w:ilvl="7" w:tplc="0C0A0003" w:tentative="1">
      <w:start w:val="1"/>
      <w:numFmt w:val="bullet"/>
      <w:lvlText w:val="o"/>
      <w:lvlJc w:val="left"/>
      <w:pPr>
        <w:ind w:left="6830" w:hanging="360"/>
      </w:pPr>
      <w:rPr>
        <w:rFonts w:ascii="Courier New" w:hAnsi="Courier New" w:cs="Courier New" w:hint="default"/>
      </w:rPr>
    </w:lvl>
    <w:lvl w:ilvl="8" w:tplc="0C0A0005" w:tentative="1">
      <w:start w:val="1"/>
      <w:numFmt w:val="bullet"/>
      <w:lvlText w:val=""/>
      <w:lvlJc w:val="left"/>
      <w:pPr>
        <w:ind w:left="7550" w:hanging="360"/>
      </w:pPr>
      <w:rPr>
        <w:rFonts w:ascii="Wingdings" w:hAnsi="Wingdings" w:hint="default"/>
      </w:rPr>
    </w:lvl>
  </w:abstractNum>
  <w:abstractNum w:abstractNumId="4" w15:restartNumberingAfterBreak="0">
    <w:nsid w:val="5CC068DF"/>
    <w:multiLevelType w:val="hybridMultilevel"/>
    <w:tmpl w:val="13D678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0D5183"/>
    <w:multiLevelType w:val="hybridMultilevel"/>
    <w:tmpl w:val="EB5011B6"/>
    <w:lvl w:ilvl="0" w:tplc="6CCC557C">
      <w:start w:val="1"/>
      <w:numFmt w:val="bullet"/>
      <w:lvlText w:val="-"/>
      <w:lvlJc w:val="left"/>
      <w:pPr>
        <w:tabs>
          <w:tab w:val="num" w:pos="1429"/>
        </w:tabs>
        <w:ind w:left="1429" w:hanging="360"/>
      </w:pPr>
      <w:rPr>
        <w:rFonts w:ascii="Arial" w:eastAsia="Times New Roman" w:hAnsi="Aria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84834FB"/>
    <w:multiLevelType w:val="hybridMultilevel"/>
    <w:tmpl w:val="908021B2"/>
    <w:lvl w:ilvl="0" w:tplc="096E13FC">
      <w:numFmt w:val="bullet"/>
      <w:lvlText w:val="-"/>
      <w:lvlJc w:val="left"/>
      <w:pPr>
        <w:tabs>
          <w:tab w:val="num" w:pos="1080"/>
        </w:tabs>
        <w:ind w:left="1080" w:hanging="360"/>
      </w:pPr>
      <w:rPr>
        <w:rFonts w:ascii="Arial" w:eastAsia="Times New Roman" w:hAnsi="Arial" w:hint="default"/>
        <w:color w:val="auto"/>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num w:numId="1" w16cid:durableId="759719693">
    <w:abstractNumId w:val="6"/>
  </w:num>
  <w:num w:numId="2" w16cid:durableId="153031439">
    <w:abstractNumId w:val="5"/>
  </w:num>
  <w:num w:numId="3" w16cid:durableId="1963805567">
    <w:abstractNumId w:val="2"/>
  </w:num>
  <w:num w:numId="4" w16cid:durableId="59715578">
    <w:abstractNumId w:val="0"/>
  </w:num>
  <w:num w:numId="5" w16cid:durableId="1801073208">
    <w:abstractNumId w:val="1"/>
  </w:num>
  <w:num w:numId="6" w16cid:durableId="10914683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0985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1332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0621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500095">
    <w:abstractNumId w:val="6"/>
  </w:num>
  <w:num w:numId="11" w16cid:durableId="1935938934">
    <w:abstractNumId w:val="4"/>
  </w:num>
  <w:num w:numId="12" w16cid:durableId="106039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E1"/>
    <w:rsid w:val="00061BD6"/>
    <w:rsid w:val="00144ADA"/>
    <w:rsid w:val="001B39E1"/>
    <w:rsid w:val="00277968"/>
    <w:rsid w:val="00314AD2"/>
    <w:rsid w:val="00487362"/>
    <w:rsid w:val="004972DE"/>
    <w:rsid w:val="004A391E"/>
    <w:rsid w:val="00574A22"/>
    <w:rsid w:val="00737CC4"/>
    <w:rsid w:val="00851067"/>
    <w:rsid w:val="008663AD"/>
    <w:rsid w:val="009821AC"/>
    <w:rsid w:val="00A20480"/>
    <w:rsid w:val="00A832A5"/>
    <w:rsid w:val="00AA0D72"/>
    <w:rsid w:val="00AD015C"/>
    <w:rsid w:val="00B76BC1"/>
    <w:rsid w:val="00B9259E"/>
    <w:rsid w:val="00C03394"/>
    <w:rsid w:val="00C50E4E"/>
    <w:rsid w:val="00DC1B7D"/>
    <w:rsid w:val="00E0694B"/>
    <w:rsid w:val="00F2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6D88"/>
  <w15:docId w15:val="{5EFE438B-D1F7-4C12-B261-D83A448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E1"/>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9E1"/>
    <w:pPr>
      <w:ind w:left="720"/>
      <w:contextualSpacing/>
    </w:pPr>
  </w:style>
  <w:style w:type="paragraph" w:customStyle="1" w:styleId="Default">
    <w:name w:val="Default"/>
    <w:rsid w:val="001B39E1"/>
    <w:pPr>
      <w:autoSpaceDE w:val="0"/>
      <w:autoSpaceDN w:val="0"/>
      <w:adjustRightInd w:val="0"/>
      <w:spacing w:after="0" w:line="240" w:lineRule="auto"/>
    </w:pPr>
    <w:rPr>
      <w:rFonts w:ascii="Times" w:eastAsia="Times New Roman" w:hAnsi="Times" w:cs="Times"/>
      <w:color w:val="000000"/>
      <w:sz w:val="24"/>
      <w:szCs w:val="24"/>
      <w:lang w:eastAsia="es-ES"/>
    </w:rPr>
  </w:style>
  <w:style w:type="paragraph" w:styleId="Encabezado">
    <w:name w:val="header"/>
    <w:basedOn w:val="Normal"/>
    <w:link w:val="EncabezadoCar"/>
    <w:uiPriority w:val="99"/>
    <w:semiHidden/>
    <w:unhideWhenUsed/>
    <w:rsid w:val="001B39E1"/>
    <w:pPr>
      <w:tabs>
        <w:tab w:val="center" w:pos="4252"/>
        <w:tab w:val="right" w:pos="8504"/>
      </w:tabs>
    </w:pPr>
  </w:style>
  <w:style w:type="character" w:customStyle="1" w:styleId="EncabezadoCar">
    <w:name w:val="Encabezado Car"/>
    <w:basedOn w:val="Fuentedeprrafopredeter"/>
    <w:link w:val="Encabezado"/>
    <w:uiPriority w:val="99"/>
    <w:semiHidden/>
    <w:rsid w:val="001B39E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semiHidden/>
    <w:unhideWhenUsed/>
    <w:rsid w:val="001B39E1"/>
    <w:pPr>
      <w:tabs>
        <w:tab w:val="center" w:pos="4252"/>
        <w:tab w:val="right" w:pos="8504"/>
      </w:tabs>
    </w:pPr>
  </w:style>
  <w:style w:type="character" w:customStyle="1" w:styleId="PiedepginaCar">
    <w:name w:val="Pie de página Car"/>
    <w:basedOn w:val="Fuentedeprrafopredeter"/>
    <w:link w:val="Piedepgina"/>
    <w:uiPriority w:val="99"/>
    <w:semiHidden/>
    <w:rsid w:val="001B39E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B39E1"/>
    <w:rPr>
      <w:rFonts w:ascii="Tahoma" w:hAnsi="Tahoma" w:cs="Tahoma"/>
      <w:sz w:val="16"/>
      <w:szCs w:val="16"/>
    </w:rPr>
  </w:style>
  <w:style w:type="character" w:customStyle="1" w:styleId="TextodegloboCar">
    <w:name w:val="Texto de globo Car"/>
    <w:basedOn w:val="Fuentedeprrafopredeter"/>
    <w:link w:val="Textodeglobo"/>
    <w:uiPriority w:val="99"/>
    <w:semiHidden/>
    <w:rsid w:val="001B39E1"/>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873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87362"/>
    <w:rPr>
      <w:rFonts w:ascii="Times New Roman" w:eastAsia="Times New Roman" w:hAnsi="Times New Roman" w:cs="Times New Roman"/>
      <w:i/>
      <w:iCs/>
      <w:color w:val="4F81BD" w:themeColor="accent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4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3264</Words>
  <Characters>17952</Characters>
  <Application>Microsoft Office Word</Application>
  <DocSecurity>0</DocSecurity>
  <Lines>149</Lines>
  <Paragraphs>42</Paragraphs>
  <ScaleCrop>false</ScaleCrop>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esanchez</dc:creator>
  <cp:lastModifiedBy>Informática CPEISTE</cp:lastModifiedBy>
  <cp:revision>6</cp:revision>
  <dcterms:created xsi:type="dcterms:W3CDTF">2022-06-20T13:40:00Z</dcterms:created>
  <dcterms:modified xsi:type="dcterms:W3CDTF">2025-04-07T09:44:00Z</dcterms:modified>
</cp:coreProperties>
</file>